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28ECE" w14:textId="06A5BC85" w:rsidR="00B35D94" w:rsidRDefault="00743CC5">
      <w:r>
        <w:rPr>
          <w:noProof/>
          <w:lang w:val="en-US" w:eastAsia="en-US"/>
        </w:rPr>
        <mc:AlternateContent>
          <mc:Choice Requires="wps">
            <w:drawing>
              <wp:anchor distT="0" distB="0" distL="114300" distR="114300" simplePos="0" relativeHeight="251658240" behindDoc="0" locked="0" layoutInCell="1" hidden="0" allowOverlap="1" wp14:anchorId="40FD1134" wp14:editId="2576C4C5">
                <wp:simplePos x="0" y="0"/>
                <wp:positionH relativeFrom="column">
                  <wp:posOffset>-164465</wp:posOffset>
                </wp:positionH>
                <wp:positionV relativeFrom="paragraph">
                  <wp:posOffset>625475</wp:posOffset>
                </wp:positionV>
                <wp:extent cx="1647825" cy="1651000"/>
                <wp:effectExtent l="0" t="0" r="28575" b="25400"/>
                <wp:wrapNone/>
                <wp:docPr id="3" name="Rectangle 3"/>
                <wp:cNvGraphicFramePr/>
                <a:graphic xmlns:a="http://schemas.openxmlformats.org/drawingml/2006/main">
                  <a:graphicData uri="http://schemas.microsoft.com/office/word/2010/wordprocessingShape">
                    <wps:wsp>
                      <wps:cNvSpPr/>
                      <wps:spPr>
                        <a:xfrm>
                          <a:off x="0" y="0"/>
                          <a:ext cx="1647825" cy="1651000"/>
                        </a:xfrm>
                        <a:prstGeom prst="rect">
                          <a:avLst/>
                        </a:prstGeom>
                        <a:solidFill>
                          <a:schemeClr val="lt1"/>
                        </a:solidFill>
                        <a:ln w="19050" cap="flat" cmpd="sng">
                          <a:solidFill>
                            <a:schemeClr val="accent2"/>
                          </a:solidFill>
                          <a:prstDash val="solid"/>
                          <a:miter lim="800000"/>
                          <a:headEnd type="none" w="sm" len="sm"/>
                          <a:tailEnd type="none" w="sm" len="sm"/>
                        </a:ln>
                      </wps:spPr>
                      <wps:txbx>
                        <w:txbxContent>
                          <w:p w14:paraId="417695F5" w14:textId="77777777" w:rsidR="00034F31" w:rsidRDefault="00034F31">
                            <w:pPr>
                              <w:spacing w:line="258" w:lineRule="auto"/>
                              <w:textDirection w:val="btLr"/>
                            </w:pPr>
                            <w:r>
                              <w:rPr>
                                <w:rFonts w:ascii="Bodoni" w:eastAsia="Bodoni" w:hAnsi="Bodoni" w:cs="Bodoni"/>
                                <w:b/>
                                <w:color w:val="000000"/>
                                <w:u w:val="single"/>
                              </w:rPr>
                              <w:t>Jurnal Eduscience (JES)</w:t>
                            </w:r>
                          </w:p>
                          <w:p w14:paraId="7D63BC7B" w14:textId="77777777" w:rsidR="00034F31" w:rsidRDefault="00034F31">
                            <w:pPr>
                              <w:spacing w:line="258" w:lineRule="auto"/>
                              <w:textDirection w:val="btLr"/>
                            </w:pPr>
                            <w:r>
                              <w:rPr>
                                <w:rFonts w:ascii="Bodoni" w:eastAsia="Bodoni" w:hAnsi="Bodoni" w:cs="Bodoni"/>
                                <w:color w:val="000000"/>
                              </w:rPr>
                              <w:t>Volume 9, No. 1</w:t>
                            </w:r>
                          </w:p>
                          <w:p w14:paraId="7642AAC6" w14:textId="77777777" w:rsidR="00034F31" w:rsidRDefault="00034F31">
                            <w:pPr>
                              <w:spacing w:line="258" w:lineRule="auto"/>
                              <w:textDirection w:val="btLr"/>
                            </w:pPr>
                            <w:r>
                              <w:rPr>
                                <w:rFonts w:ascii="Bodoni" w:eastAsia="Bodoni" w:hAnsi="Bodoni" w:cs="Bodoni"/>
                                <w:color w:val="000000"/>
                              </w:rPr>
                              <w:t>Juni, Tahun 2022</w:t>
                            </w:r>
                          </w:p>
                          <w:p w14:paraId="769E63F0" w14:textId="77777777" w:rsidR="00034F31" w:rsidRDefault="00034F31">
                            <w:pPr>
                              <w:spacing w:line="258" w:lineRule="auto"/>
                              <w:textDirection w:val="btLr"/>
                            </w:pPr>
                            <w:r>
                              <w:rPr>
                                <w:rFonts w:ascii="Bodoni" w:eastAsia="Bodoni" w:hAnsi="Bodoni" w:cs="Bodoni"/>
                                <w:i/>
                                <w:color w:val="000000"/>
                              </w:rPr>
                              <w:t>Submit : 01 February 2022</w:t>
                            </w:r>
                          </w:p>
                          <w:p w14:paraId="356CF1B0" w14:textId="77777777" w:rsidR="00034F31" w:rsidRDefault="00034F31">
                            <w:pPr>
                              <w:spacing w:line="258" w:lineRule="auto"/>
                              <w:textDirection w:val="btLr"/>
                            </w:pPr>
                            <w:r>
                              <w:rPr>
                                <w:rFonts w:ascii="Bodoni" w:eastAsia="Bodoni" w:hAnsi="Bodoni" w:cs="Bodoni"/>
                                <w:i/>
                                <w:color w:val="000000"/>
                              </w:rPr>
                              <w:t>Accepted : 5 April 2022</w:t>
                            </w:r>
                          </w:p>
                          <w:p w14:paraId="2F80BE63" w14:textId="77777777" w:rsidR="00034F31" w:rsidRDefault="00034F31">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2.95pt;margin-top:49.25pt;width:129.75pt;height:1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" fillcolor="white [3201]" strokecolor="#c0504d [3205]" strokeweight="1.5pt">
                <v:stroke startarrowwidth="narrow" startarrowlength="short" endarrowwidth="narrow" endarrowlength="short"/>
                <v:textbox inset="2.53958mm,1.2694mm,2.53958mm,1.2694mm">
                  <w:txbxContent>
                    <w:p w14:paraId="417695F5" w14:textId="77777777" w:rsidR="00034F31" w:rsidRDefault="00034F31">
                      <w:pPr>
                        <w:spacing w:line="258" w:lineRule="auto"/>
                        <w:textDirection w:val="btLr"/>
                      </w:pPr>
                      <w:r>
                        <w:rPr>
                          <w:rFonts w:ascii="Bodoni" w:eastAsia="Bodoni" w:hAnsi="Bodoni" w:cs="Bodoni"/>
                          <w:b/>
                          <w:color w:val="000000"/>
                          <w:u w:val="single"/>
                        </w:rPr>
                        <w:t>Jurnal Eduscience (JES)</w:t>
                      </w:r>
                    </w:p>
                    <w:p w14:paraId="7D63BC7B" w14:textId="77777777" w:rsidR="00034F31" w:rsidRDefault="00034F31">
                      <w:pPr>
                        <w:spacing w:line="258" w:lineRule="auto"/>
                        <w:textDirection w:val="btLr"/>
                      </w:pPr>
                      <w:r>
                        <w:rPr>
                          <w:rFonts w:ascii="Bodoni" w:eastAsia="Bodoni" w:hAnsi="Bodoni" w:cs="Bodoni"/>
                          <w:color w:val="000000"/>
                        </w:rPr>
                        <w:t>Volume 9, No. 1</w:t>
                      </w:r>
                    </w:p>
                    <w:p w14:paraId="7642AAC6" w14:textId="77777777" w:rsidR="00034F31" w:rsidRDefault="00034F31">
                      <w:pPr>
                        <w:spacing w:line="258" w:lineRule="auto"/>
                        <w:textDirection w:val="btLr"/>
                      </w:pPr>
                      <w:r>
                        <w:rPr>
                          <w:rFonts w:ascii="Bodoni" w:eastAsia="Bodoni" w:hAnsi="Bodoni" w:cs="Bodoni"/>
                          <w:color w:val="000000"/>
                        </w:rPr>
                        <w:t>Juni, Tahun 2022</w:t>
                      </w:r>
                    </w:p>
                    <w:p w14:paraId="769E63F0" w14:textId="77777777" w:rsidR="00034F31" w:rsidRDefault="00034F31">
                      <w:pPr>
                        <w:spacing w:line="258" w:lineRule="auto"/>
                        <w:textDirection w:val="btLr"/>
                      </w:pPr>
                      <w:r>
                        <w:rPr>
                          <w:rFonts w:ascii="Bodoni" w:eastAsia="Bodoni" w:hAnsi="Bodoni" w:cs="Bodoni"/>
                          <w:i/>
                          <w:color w:val="000000"/>
                        </w:rPr>
                        <w:t>Submit : 01 February 2022</w:t>
                      </w:r>
                    </w:p>
                    <w:p w14:paraId="356CF1B0" w14:textId="77777777" w:rsidR="00034F31" w:rsidRDefault="00034F31">
                      <w:pPr>
                        <w:spacing w:line="258" w:lineRule="auto"/>
                        <w:textDirection w:val="btLr"/>
                      </w:pPr>
                      <w:r>
                        <w:rPr>
                          <w:rFonts w:ascii="Bodoni" w:eastAsia="Bodoni" w:hAnsi="Bodoni" w:cs="Bodoni"/>
                          <w:i/>
                          <w:color w:val="000000"/>
                        </w:rPr>
                        <w:t>Accepted : 5 April 2022</w:t>
                      </w:r>
                    </w:p>
                    <w:p w14:paraId="2F80BE63" w14:textId="77777777" w:rsidR="00034F31" w:rsidRDefault="00034F31">
                      <w:pPr>
                        <w:spacing w:line="258" w:lineRule="auto"/>
                        <w:textDirection w:val="btLr"/>
                      </w:pP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0DB59F4E" wp14:editId="1F3DFE21">
                <wp:simplePos x="0" y="0"/>
                <wp:positionH relativeFrom="column">
                  <wp:posOffset>1485900</wp:posOffset>
                </wp:positionH>
                <wp:positionV relativeFrom="paragraph">
                  <wp:posOffset>480060</wp:posOffset>
                </wp:positionV>
                <wp:extent cx="4800600" cy="2105025"/>
                <wp:effectExtent l="0" t="0" r="0" b="9525"/>
                <wp:wrapNone/>
                <wp:docPr id="1" name="Rectangle 1"/>
                <wp:cNvGraphicFramePr/>
                <a:graphic xmlns:a="http://schemas.openxmlformats.org/drawingml/2006/main">
                  <a:graphicData uri="http://schemas.microsoft.com/office/word/2010/wordprocessingShape">
                    <wps:wsp>
                      <wps:cNvSpPr/>
                      <wps:spPr>
                        <a:xfrm>
                          <a:off x="0" y="0"/>
                          <a:ext cx="4800600" cy="2105025"/>
                        </a:xfrm>
                        <a:prstGeom prst="rect">
                          <a:avLst/>
                        </a:prstGeom>
                        <a:noFill/>
                        <a:ln>
                          <a:noFill/>
                        </a:ln>
                      </wps:spPr>
                      <wps:txbx>
                        <w:txbxContent>
                          <w:p w14:paraId="74836094" w14:textId="55B6D8D7" w:rsidR="00034F31" w:rsidRDefault="00034F31" w:rsidP="009A2AD0">
                            <w:pPr>
                              <w:spacing w:after="0" w:line="275" w:lineRule="auto"/>
                              <w:jc w:val="center"/>
                              <w:textDirection w:val="btLr"/>
                              <w:rPr>
                                <w:lang w:val="en-US"/>
                              </w:rPr>
                            </w:pPr>
                            <w:r w:rsidRPr="0015342A">
                              <w:rPr>
                                <w:rFonts w:ascii="Bodoni" w:eastAsia="Bodoni" w:hAnsi="Bodoni" w:cs="Bodoni"/>
                                <w:b/>
                                <w:color w:val="000000"/>
                                <w:sz w:val="24"/>
                                <w:lang w:val="en-US"/>
                              </w:rPr>
                              <w:t>COMPARISON OF LEARNING OUTCOMES AND STUDENT LEARNING STYLES: A STUDY ON TRIGONOMETRIC COMPARISON OF RIGHT TRIANGLES</w:t>
                            </w:r>
                          </w:p>
                          <w:p w14:paraId="62A98EAA" w14:textId="77777777" w:rsidR="009A2AD0" w:rsidRPr="009A2AD0" w:rsidRDefault="009A2AD0" w:rsidP="009A2AD0">
                            <w:pPr>
                              <w:spacing w:after="0" w:line="275" w:lineRule="auto"/>
                              <w:jc w:val="center"/>
                              <w:textDirection w:val="btLr"/>
                              <w:rPr>
                                <w:lang w:val="en-US"/>
                              </w:rPr>
                            </w:pPr>
                          </w:p>
                          <w:p w14:paraId="5B521E1D" w14:textId="750CA584" w:rsidR="00034F31" w:rsidRPr="00034F31" w:rsidRDefault="00034F31" w:rsidP="00613F76">
                            <w:pPr>
                              <w:spacing w:after="0" w:line="240" w:lineRule="auto"/>
                              <w:jc w:val="center"/>
                              <w:textDirection w:val="btLr"/>
                              <w:rPr>
                                <w:rFonts w:ascii="Bodoni MT" w:hAnsi="Bodoni MT"/>
                                <w:b/>
                                <w:lang w:val="en-US"/>
                              </w:rPr>
                            </w:pPr>
                            <w:r w:rsidRPr="00034F31">
                              <w:rPr>
                                <w:rFonts w:ascii="Bodoni MT" w:hAnsi="Bodoni MT"/>
                                <w:b/>
                                <w:lang w:val="en-US"/>
                              </w:rPr>
                              <w:t xml:space="preserve">ANDERSON LEONARDO </w:t>
                            </w:r>
                            <w:proofErr w:type="gramStart"/>
                            <w:r w:rsidRPr="00034F31">
                              <w:rPr>
                                <w:rFonts w:ascii="Bodoni MT" w:hAnsi="Bodoni MT"/>
                                <w:b/>
                                <w:lang w:val="en-US"/>
                              </w:rPr>
                              <w:t>PALINUSSA</w:t>
                            </w:r>
                            <w:r w:rsidRPr="00034F31">
                              <w:rPr>
                                <w:rFonts w:ascii="Bodoni MT" w:hAnsi="Bodoni MT"/>
                                <w:b/>
                                <w:vertAlign w:val="superscript"/>
                                <w:lang w:val="en-US"/>
                              </w:rPr>
                              <w:t>1</w:t>
                            </w:r>
                            <w:r w:rsidRPr="00034F31">
                              <w:rPr>
                                <w:rFonts w:ascii="Bodoni MT" w:hAnsi="Bodoni MT"/>
                                <w:b/>
                                <w:lang w:val="en-US"/>
                              </w:rPr>
                              <w:t xml:space="preserve"> ,</w:t>
                            </w:r>
                            <w:proofErr w:type="gramEnd"/>
                            <w:r w:rsidRPr="00034F31">
                              <w:rPr>
                                <w:rFonts w:ascii="Bodoni MT" w:hAnsi="Bodoni MT"/>
                                <w:b/>
                                <w:lang w:val="en-US"/>
                              </w:rPr>
                              <w:t xml:space="preserve"> CAROLINA SELFISINA AYAL</w:t>
                            </w:r>
                            <w:r w:rsidR="00961EA8">
                              <w:rPr>
                                <w:rFonts w:ascii="Bodoni MT" w:hAnsi="Bodoni MT"/>
                                <w:b/>
                                <w:vertAlign w:val="superscript"/>
                                <w:lang w:val="en-US"/>
                              </w:rPr>
                              <w:t>1</w:t>
                            </w:r>
                          </w:p>
                          <w:p w14:paraId="7EA6CCED" w14:textId="77777777" w:rsidR="00961EA8" w:rsidRDefault="00961EA8" w:rsidP="00961EA8">
                            <w:pPr>
                              <w:spacing w:after="0" w:line="240" w:lineRule="auto"/>
                              <w:textDirection w:val="btLr"/>
                              <w:rPr>
                                <w:rFonts w:ascii="Bodoni" w:eastAsia="Bodoni" w:hAnsi="Bodoni" w:cs="Bodoni"/>
                                <w:color w:val="FF0000"/>
                                <w:sz w:val="20"/>
                                <w:lang w:val="en-US"/>
                              </w:rPr>
                            </w:pPr>
                          </w:p>
                          <w:p w14:paraId="48C9EF78" w14:textId="468E713D" w:rsidR="00034F31" w:rsidRDefault="00034F31" w:rsidP="00961EA8">
                            <w:pPr>
                              <w:spacing w:after="0" w:line="240" w:lineRule="auto"/>
                              <w:textDirection w:val="btLr"/>
                            </w:pPr>
                            <w:r>
                              <w:rPr>
                                <w:rFonts w:ascii="Bodoni" w:eastAsia="Bodoni" w:hAnsi="Bodoni" w:cs="Bodoni"/>
                                <w:color w:val="000000"/>
                                <w:sz w:val="20"/>
                                <w:vertAlign w:val="superscript"/>
                              </w:rPr>
                              <w:t>1</w:t>
                            </w:r>
                            <w:r w:rsidR="00961EA8" w:rsidRPr="00961EA8">
                              <w:rPr>
                                <w:rFonts w:ascii="Bodoni MT" w:eastAsia="Bodoni" w:hAnsi="Bodoni MT" w:cs="Bodoni"/>
                                <w:color w:val="000000"/>
                                <w:sz w:val="20"/>
                              </w:rPr>
                              <w:t xml:space="preserve">Mathematics Education Study Program, Faculty of Teacher Training and Education </w:t>
                            </w:r>
                          </w:p>
                          <w:p w14:paraId="64F54DBD" w14:textId="6FFAAC09" w:rsidR="00961EA8" w:rsidRDefault="00961EA8" w:rsidP="00961EA8">
                            <w:pPr>
                              <w:pStyle w:val="Alishlah16affiliation"/>
                              <w:jc w:val="center"/>
                              <w:rPr>
                                <w:color w:val="auto"/>
                                <w:lang w:val="en-GB"/>
                              </w:rPr>
                            </w:pPr>
                            <w:r>
                              <w:rPr>
                                <w:rFonts w:ascii="Bodoni" w:eastAsia="Bodoni" w:hAnsi="Bodoni" w:cs="Bodoni"/>
                                <w:sz w:val="20"/>
                              </w:rPr>
                              <w:t xml:space="preserve">E-Mail: </w:t>
                            </w:r>
                            <w:hyperlink r:id="rId9" w:history="1">
                              <w:r w:rsidRPr="00961EA8">
                                <w:rPr>
                                  <w:rStyle w:val="Hyperlink"/>
                                  <w:color w:val="000000" w:themeColor="text1"/>
                                  <w:u w:val="none"/>
                                  <w:lang w:val="en-GB"/>
                                </w:rPr>
                                <w:t>palinussaandesonl@gmail.com</w:t>
                              </w:r>
                            </w:hyperlink>
                            <w:r w:rsidRPr="00961EA8">
                              <w:rPr>
                                <w:color w:val="000000" w:themeColor="text1"/>
                                <w:lang w:val="en-GB"/>
                              </w:rPr>
                              <w:t>,</w:t>
                            </w:r>
                            <w:r>
                              <w:rPr>
                                <w:color w:val="auto"/>
                                <w:lang w:val="en-GB"/>
                              </w:rPr>
                              <w:t xml:space="preserve"> </w:t>
                            </w:r>
                            <w:r w:rsidRPr="00BC1E33">
                              <w:rPr>
                                <w:color w:val="auto"/>
                                <w:lang w:val="en-GB"/>
                              </w:rPr>
                              <w:t>ayal.olly@yahoo.co.id</w:t>
                            </w:r>
                          </w:p>
                          <w:p w14:paraId="241C769A" w14:textId="7C5BB32A" w:rsidR="00961EA8" w:rsidRDefault="00961EA8" w:rsidP="00961EA8">
                            <w:pPr>
                              <w:pStyle w:val="Alishlah16affiliation"/>
                              <w:rPr>
                                <w:color w:val="auto"/>
                                <w:lang w:val="en-GB"/>
                              </w:rPr>
                            </w:pPr>
                          </w:p>
                          <w:p w14:paraId="05F4B0D4" w14:textId="2AFF6D9A" w:rsidR="00034F31" w:rsidRPr="00961EA8" w:rsidRDefault="00034F31" w:rsidP="00613F76">
                            <w:pPr>
                              <w:spacing w:after="0" w:line="240" w:lineRule="auto"/>
                              <w:jc w:val="center"/>
                              <w:textDirection w:val="btLr"/>
                              <w:rPr>
                                <w:lang w:val="en-US"/>
                              </w:rPr>
                            </w:pPr>
                          </w:p>
                          <w:p w14:paraId="17306D84" w14:textId="77777777" w:rsidR="00034F31" w:rsidRDefault="00034F31">
                            <w:pPr>
                              <w:spacing w:after="120" w:line="240" w:lineRule="auto"/>
                              <w:textDirection w:val="btLr"/>
                            </w:pPr>
                          </w:p>
                          <w:p w14:paraId="37E612C8" w14:textId="77777777" w:rsidR="00034F31" w:rsidRDefault="00034F3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7" style="position:absolute;margin-left:117pt;margin-top:37.8pt;width:378pt;height:16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" filled="f" stroked="f">
                <v:textbox inset="2.53958mm,1.2694mm,2.53958mm,1.2694mm">
                  <w:txbxContent>
                    <w:p w14:paraId="74836094" w14:textId="55B6D8D7" w:rsidR="00034F31" w:rsidRDefault="00034F31" w:rsidP="009A2AD0">
                      <w:pPr>
                        <w:spacing w:after="0" w:line="275" w:lineRule="auto"/>
                        <w:jc w:val="center"/>
                        <w:textDirection w:val="btLr"/>
                        <w:rPr>
                          <w:lang w:val="en-US"/>
                        </w:rPr>
                      </w:pPr>
                      <w:r w:rsidRPr="0015342A">
                        <w:rPr>
                          <w:rFonts w:ascii="Bodoni" w:eastAsia="Bodoni" w:hAnsi="Bodoni" w:cs="Bodoni"/>
                          <w:b/>
                          <w:color w:val="000000"/>
                          <w:sz w:val="24"/>
                          <w:lang w:val="en-US"/>
                        </w:rPr>
                        <w:t>COMPARISON OF LEARNING OUTCOMES AND STUDENT LEARNING STYLES: A STUDY ON TRIGONOMETRIC COMPARISON OF RIGHT TRIANGLES</w:t>
                      </w:r>
                    </w:p>
                    <w:p w14:paraId="62A98EAA" w14:textId="77777777" w:rsidR="009A2AD0" w:rsidRPr="009A2AD0" w:rsidRDefault="009A2AD0" w:rsidP="009A2AD0">
                      <w:pPr>
                        <w:spacing w:after="0" w:line="275" w:lineRule="auto"/>
                        <w:jc w:val="center"/>
                        <w:textDirection w:val="btLr"/>
                        <w:rPr>
                          <w:lang w:val="en-US"/>
                        </w:rPr>
                      </w:pPr>
                    </w:p>
                    <w:p w14:paraId="5B521E1D" w14:textId="750CA584" w:rsidR="00034F31" w:rsidRPr="00034F31" w:rsidRDefault="00034F31" w:rsidP="00613F76">
                      <w:pPr>
                        <w:spacing w:after="0" w:line="240" w:lineRule="auto"/>
                        <w:jc w:val="center"/>
                        <w:textDirection w:val="btLr"/>
                        <w:rPr>
                          <w:rFonts w:ascii="Bodoni MT" w:hAnsi="Bodoni MT"/>
                          <w:b/>
                          <w:lang w:val="en-US"/>
                        </w:rPr>
                      </w:pPr>
                      <w:r w:rsidRPr="00034F31">
                        <w:rPr>
                          <w:rFonts w:ascii="Bodoni MT" w:hAnsi="Bodoni MT"/>
                          <w:b/>
                          <w:lang w:val="en-US"/>
                        </w:rPr>
                        <w:t xml:space="preserve">ANDERSON LEONARDO </w:t>
                      </w:r>
                      <w:proofErr w:type="gramStart"/>
                      <w:r w:rsidRPr="00034F31">
                        <w:rPr>
                          <w:rFonts w:ascii="Bodoni MT" w:hAnsi="Bodoni MT"/>
                          <w:b/>
                          <w:lang w:val="en-US"/>
                        </w:rPr>
                        <w:t>PALINUSSA</w:t>
                      </w:r>
                      <w:r w:rsidRPr="00034F31">
                        <w:rPr>
                          <w:rFonts w:ascii="Bodoni MT" w:hAnsi="Bodoni MT"/>
                          <w:b/>
                          <w:vertAlign w:val="superscript"/>
                          <w:lang w:val="en-US"/>
                        </w:rPr>
                        <w:t>1</w:t>
                      </w:r>
                      <w:r w:rsidRPr="00034F31">
                        <w:rPr>
                          <w:rFonts w:ascii="Bodoni MT" w:hAnsi="Bodoni MT"/>
                          <w:b/>
                          <w:lang w:val="en-US"/>
                        </w:rPr>
                        <w:t xml:space="preserve"> ,</w:t>
                      </w:r>
                      <w:proofErr w:type="gramEnd"/>
                      <w:r w:rsidRPr="00034F31">
                        <w:rPr>
                          <w:rFonts w:ascii="Bodoni MT" w:hAnsi="Bodoni MT"/>
                          <w:b/>
                          <w:lang w:val="en-US"/>
                        </w:rPr>
                        <w:t xml:space="preserve"> CAROLINA SELFISINA AYAL</w:t>
                      </w:r>
                      <w:r w:rsidR="00961EA8">
                        <w:rPr>
                          <w:rFonts w:ascii="Bodoni MT" w:hAnsi="Bodoni MT"/>
                          <w:b/>
                          <w:vertAlign w:val="superscript"/>
                          <w:lang w:val="en-US"/>
                        </w:rPr>
                        <w:t>1</w:t>
                      </w:r>
                    </w:p>
                    <w:p w14:paraId="7EA6CCED" w14:textId="77777777" w:rsidR="00961EA8" w:rsidRDefault="00961EA8" w:rsidP="00961EA8">
                      <w:pPr>
                        <w:spacing w:after="0" w:line="240" w:lineRule="auto"/>
                        <w:textDirection w:val="btLr"/>
                        <w:rPr>
                          <w:rFonts w:ascii="Bodoni" w:eastAsia="Bodoni" w:hAnsi="Bodoni" w:cs="Bodoni"/>
                          <w:color w:val="FF0000"/>
                          <w:sz w:val="20"/>
                          <w:lang w:val="en-US"/>
                        </w:rPr>
                      </w:pPr>
                    </w:p>
                    <w:p w14:paraId="48C9EF78" w14:textId="468E713D" w:rsidR="00034F31" w:rsidRDefault="00034F31" w:rsidP="00961EA8">
                      <w:pPr>
                        <w:spacing w:after="0" w:line="240" w:lineRule="auto"/>
                        <w:textDirection w:val="btLr"/>
                      </w:pPr>
                      <w:r>
                        <w:rPr>
                          <w:rFonts w:ascii="Bodoni" w:eastAsia="Bodoni" w:hAnsi="Bodoni" w:cs="Bodoni"/>
                          <w:color w:val="000000"/>
                          <w:sz w:val="20"/>
                          <w:vertAlign w:val="superscript"/>
                        </w:rPr>
                        <w:t>1</w:t>
                      </w:r>
                      <w:r w:rsidR="00961EA8" w:rsidRPr="00961EA8">
                        <w:rPr>
                          <w:rFonts w:ascii="Bodoni MT" w:eastAsia="Bodoni" w:hAnsi="Bodoni MT" w:cs="Bodoni"/>
                          <w:color w:val="000000"/>
                          <w:sz w:val="20"/>
                        </w:rPr>
                        <w:t xml:space="preserve">Mathematics Education Study Program, Faculty of Teacher Training and Education </w:t>
                      </w:r>
                    </w:p>
                    <w:p w14:paraId="64F54DBD" w14:textId="6FFAAC09" w:rsidR="00961EA8" w:rsidRDefault="00961EA8" w:rsidP="00961EA8">
                      <w:pPr>
                        <w:pStyle w:val="Alishlah16affiliation"/>
                        <w:jc w:val="center"/>
                        <w:rPr>
                          <w:color w:val="auto"/>
                          <w:lang w:val="en-GB"/>
                        </w:rPr>
                      </w:pPr>
                      <w:r>
                        <w:rPr>
                          <w:rFonts w:ascii="Bodoni" w:eastAsia="Bodoni" w:hAnsi="Bodoni" w:cs="Bodoni"/>
                          <w:sz w:val="20"/>
                        </w:rPr>
                        <w:t xml:space="preserve">E-Mail: </w:t>
                      </w:r>
                      <w:hyperlink r:id="rId10" w:history="1">
                        <w:r w:rsidRPr="00961EA8">
                          <w:rPr>
                            <w:rStyle w:val="Hyperlink"/>
                            <w:color w:val="000000" w:themeColor="text1"/>
                            <w:u w:val="none"/>
                            <w:lang w:val="en-GB"/>
                          </w:rPr>
                          <w:t>palinussaandesonl@gmail.com</w:t>
                        </w:r>
                      </w:hyperlink>
                      <w:r w:rsidRPr="00961EA8">
                        <w:rPr>
                          <w:color w:val="000000" w:themeColor="text1"/>
                          <w:lang w:val="en-GB"/>
                        </w:rPr>
                        <w:t>,</w:t>
                      </w:r>
                      <w:r>
                        <w:rPr>
                          <w:color w:val="auto"/>
                          <w:lang w:val="en-GB"/>
                        </w:rPr>
                        <w:t xml:space="preserve"> </w:t>
                      </w:r>
                      <w:r w:rsidRPr="00BC1E33">
                        <w:rPr>
                          <w:color w:val="auto"/>
                          <w:lang w:val="en-GB"/>
                        </w:rPr>
                        <w:t>ayal.olly@yahoo.co.id</w:t>
                      </w:r>
                    </w:p>
                    <w:p w14:paraId="241C769A" w14:textId="7C5BB32A" w:rsidR="00961EA8" w:rsidRDefault="00961EA8" w:rsidP="00961EA8">
                      <w:pPr>
                        <w:pStyle w:val="Alishlah16affiliation"/>
                        <w:rPr>
                          <w:color w:val="auto"/>
                          <w:lang w:val="en-GB"/>
                        </w:rPr>
                      </w:pPr>
                    </w:p>
                    <w:p w14:paraId="05F4B0D4" w14:textId="2AFF6D9A" w:rsidR="00034F31" w:rsidRPr="00961EA8" w:rsidRDefault="00034F31" w:rsidP="00613F76">
                      <w:pPr>
                        <w:spacing w:after="0" w:line="240" w:lineRule="auto"/>
                        <w:jc w:val="center"/>
                        <w:textDirection w:val="btLr"/>
                        <w:rPr>
                          <w:lang w:val="en-US"/>
                        </w:rPr>
                      </w:pPr>
                    </w:p>
                    <w:p w14:paraId="17306D84" w14:textId="77777777" w:rsidR="00034F31" w:rsidRDefault="00034F31">
                      <w:pPr>
                        <w:spacing w:after="120" w:line="240" w:lineRule="auto"/>
                        <w:textDirection w:val="btLr"/>
                      </w:pPr>
                    </w:p>
                    <w:p w14:paraId="37E612C8" w14:textId="77777777" w:rsidR="00034F31" w:rsidRDefault="00034F31">
                      <w:pPr>
                        <w:spacing w:line="258" w:lineRule="auto"/>
                        <w:textDirection w:val="btLr"/>
                      </w:pPr>
                    </w:p>
                  </w:txbxContent>
                </v:textbox>
              </v:rect>
            </w:pict>
          </mc:Fallback>
        </mc:AlternateContent>
      </w:r>
    </w:p>
    <w:p w14:paraId="350D4B61" w14:textId="77777777" w:rsidR="00B35D94" w:rsidRDefault="00B35D94"/>
    <w:p w14:paraId="5A119A35" w14:textId="77777777" w:rsidR="00B35D94" w:rsidRDefault="00B35D94"/>
    <w:p w14:paraId="7055D884" w14:textId="77777777" w:rsidR="00B35D94" w:rsidRDefault="00B35D94"/>
    <w:p w14:paraId="2860240F" w14:textId="77777777" w:rsidR="00B35D94" w:rsidRDefault="00B35D94">
      <w:bookmarkStart w:id="0" w:name="_gjdgxs" w:colFirst="0" w:colLast="0"/>
      <w:bookmarkEnd w:id="0"/>
    </w:p>
    <w:p w14:paraId="0B5420B4" w14:textId="77777777" w:rsidR="00B35D94" w:rsidRDefault="00B35D94"/>
    <w:p w14:paraId="35775748" w14:textId="77777777" w:rsidR="00B35D94" w:rsidRDefault="00B35D94"/>
    <w:p w14:paraId="3E5C4058" w14:textId="77777777" w:rsidR="00B35D94" w:rsidRDefault="00034F31">
      <w:r>
        <w:rPr>
          <w:noProof/>
          <w:lang w:val="en-US" w:eastAsia="en-US"/>
        </w:rPr>
        <mc:AlternateContent>
          <mc:Choice Requires="wps">
            <w:drawing>
              <wp:anchor distT="0" distB="0" distL="114300" distR="114300" simplePos="0" relativeHeight="251660288" behindDoc="0" locked="0" layoutInCell="1" hidden="0" allowOverlap="1" wp14:anchorId="10124492" wp14:editId="36F7AF0D">
                <wp:simplePos x="0" y="0"/>
                <wp:positionH relativeFrom="column">
                  <wp:posOffset>-189865</wp:posOffset>
                </wp:positionH>
                <wp:positionV relativeFrom="paragraph">
                  <wp:posOffset>114300</wp:posOffset>
                </wp:positionV>
                <wp:extent cx="6438900" cy="3495675"/>
                <wp:effectExtent l="0" t="0" r="0" b="9525"/>
                <wp:wrapNone/>
                <wp:docPr id="4" name="Rectangle 4"/>
                <wp:cNvGraphicFramePr/>
                <a:graphic xmlns:a="http://schemas.openxmlformats.org/drawingml/2006/main">
                  <a:graphicData uri="http://schemas.microsoft.com/office/word/2010/wordprocessingShape">
                    <wps:wsp>
                      <wps:cNvSpPr/>
                      <wps:spPr>
                        <a:xfrm>
                          <a:off x="0" y="0"/>
                          <a:ext cx="6438900" cy="3495675"/>
                        </a:xfrm>
                        <a:prstGeom prst="rect">
                          <a:avLst/>
                        </a:prstGeom>
                        <a:solidFill>
                          <a:schemeClr val="lt1"/>
                        </a:solidFill>
                        <a:ln>
                          <a:noFill/>
                        </a:ln>
                      </wps:spPr>
                      <wps:txbx>
                        <w:txbxContent>
                          <w:p w14:paraId="0094B3A7" w14:textId="77C08FA2" w:rsidR="00034F31" w:rsidRPr="00AA66DA" w:rsidRDefault="00034F31">
                            <w:pPr>
                              <w:spacing w:after="40" w:line="240" w:lineRule="auto"/>
                              <w:textDirection w:val="btLr"/>
                              <w:rPr>
                                <w:lang w:val="en-US"/>
                              </w:rPr>
                            </w:pPr>
                            <w:r w:rsidRPr="00AA66DA">
                              <w:rPr>
                                <w:rFonts w:ascii="Bodoni" w:eastAsia="Bodoni" w:hAnsi="Bodoni" w:cs="Bodoni"/>
                                <w:b/>
                                <w:color w:val="000000"/>
                              </w:rPr>
                              <w:t xml:space="preserve">Abstract </w:t>
                            </w:r>
                          </w:p>
                          <w:p w14:paraId="63BCAD49" w14:textId="5070381F" w:rsidR="00034F31" w:rsidRPr="00034F31" w:rsidRDefault="00034F31">
                            <w:pPr>
                              <w:spacing w:after="40" w:line="240" w:lineRule="auto"/>
                              <w:jc w:val="both"/>
                              <w:textDirection w:val="btLr"/>
                              <w:rPr>
                                <w:rFonts w:ascii="Bodoni" w:eastAsia="Bodoni" w:hAnsi="Bodoni" w:cs="Bodoni"/>
                                <w:color w:val="000000" w:themeColor="text1"/>
                                <w:lang w:val="en-US"/>
                              </w:rPr>
                            </w:pPr>
                            <w:r w:rsidRPr="00034F31">
                              <w:rPr>
                                <w:rFonts w:ascii="Bodoni" w:eastAsia="Bodoni" w:hAnsi="Bodoni" w:cs="Bodoni"/>
                                <w:color w:val="000000" w:themeColor="text1"/>
                                <w:lang w:val="en-US"/>
                              </w:rPr>
                              <w:t xml:space="preserve">Poor knowledge of mathematical concepts leads to poor math learning outcomes among students. Good reasoning will equip students to explain and argue mathematically. Therefore, the purpose of this study is to determine the comparison of learning outcomes and learning styles of students on trigonometric comparison material in right triangles. The variables in this study are visual learning style, </w:t>
                            </w:r>
                            <w:proofErr w:type="spellStart"/>
                            <w:r w:rsidRPr="00034F31">
                              <w:rPr>
                                <w:rFonts w:ascii="Bodoni" w:eastAsia="Bodoni" w:hAnsi="Bodoni" w:cs="Bodoni"/>
                                <w:color w:val="000000" w:themeColor="text1"/>
                                <w:lang w:val="en-US"/>
                              </w:rPr>
                              <w:t>auditorial</w:t>
                            </w:r>
                            <w:proofErr w:type="spellEnd"/>
                            <w:r w:rsidRPr="00034F31">
                              <w:rPr>
                                <w:rFonts w:ascii="Bodoni" w:eastAsia="Bodoni" w:hAnsi="Bodoni" w:cs="Bodoni"/>
                                <w:color w:val="000000" w:themeColor="text1"/>
                                <w:lang w:val="en-US"/>
                              </w:rPr>
                              <w:t xml:space="preserve"> learning style, and kinesthetic learning style (VAK) as independent variables and math learning outcomes as dependent variables. The participants in this study amounted to 77 people who came from the tenth grade, majoring in mathematics and natural sciences. The data used in this research is quantitative. Quantitative data is data in the form of numbers obtained from the results of a questionnaire consisting of 21 questions and mathematics learning outcomes received after working on a description question with as many as 3 numbers. The data analysis technique in this study is using the Mann Whitney-U test. The results of the survey obtained 23 or 29.9% of students with visual learning styles, 41 or 53.2% of students with auditory learning styles, and 13 or 16.9% of students with kinesthetic learning styles. The average learning outcome of students with a visual learning style is 70.09, students with an </w:t>
                            </w:r>
                            <w:proofErr w:type="spellStart"/>
                            <w:r w:rsidRPr="00034F31">
                              <w:rPr>
                                <w:rFonts w:ascii="Bodoni" w:eastAsia="Bodoni" w:hAnsi="Bodoni" w:cs="Bodoni"/>
                                <w:color w:val="000000" w:themeColor="text1"/>
                                <w:lang w:val="en-US"/>
                              </w:rPr>
                              <w:t>auditorial</w:t>
                            </w:r>
                            <w:proofErr w:type="spellEnd"/>
                            <w:r w:rsidRPr="00034F31">
                              <w:rPr>
                                <w:rFonts w:ascii="Bodoni" w:eastAsia="Bodoni" w:hAnsi="Bodoni" w:cs="Bodoni"/>
                                <w:color w:val="000000" w:themeColor="text1"/>
                                <w:lang w:val="en-US"/>
                              </w:rPr>
                              <w:t xml:space="preserve"> learning style are 71.72, and students with a kinesthetic learning style are 69.29. Based on the results of the analysis using SPSS 26.0, the significance value of each paired group of learning styles is more than the significance level α = 0.05. Therefore, there is no difference in math learning outcomes between students whose learning styles are visual, auditory, and kinesthetic.</w:t>
                            </w:r>
                          </w:p>
                          <w:p w14:paraId="34A38FE5" w14:textId="77777777" w:rsidR="00034F31" w:rsidRPr="00034F31" w:rsidRDefault="00034F31">
                            <w:pPr>
                              <w:spacing w:after="40" w:line="240" w:lineRule="auto"/>
                              <w:jc w:val="both"/>
                              <w:textDirection w:val="btLr"/>
                              <w:rPr>
                                <w:lang w:val="en-US"/>
                              </w:rPr>
                            </w:pPr>
                          </w:p>
                          <w:p w14:paraId="5850BC62" w14:textId="00854469" w:rsidR="00034F31" w:rsidRPr="009A2AD0" w:rsidRDefault="00034F31">
                            <w:pPr>
                              <w:spacing w:after="0" w:line="240" w:lineRule="auto"/>
                              <w:jc w:val="both"/>
                              <w:textDirection w:val="btLr"/>
                              <w:rPr>
                                <w:lang w:val="en-US"/>
                              </w:rPr>
                            </w:pPr>
                            <w:r>
                              <w:rPr>
                                <w:rFonts w:ascii="Bodoni" w:eastAsia="Bodoni" w:hAnsi="Bodoni" w:cs="Bodoni"/>
                                <w:b/>
                                <w:color w:val="000000"/>
                              </w:rPr>
                              <w:t xml:space="preserve">Keywords: </w:t>
                            </w:r>
                            <w:r w:rsidR="009A2AD0" w:rsidRPr="009A2AD0">
                              <w:rPr>
                                <w:rFonts w:ascii="Bodoni" w:eastAsia="Bodoni" w:hAnsi="Bodoni" w:cs="Bodoni"/>
                                <w:color w:val="000000"/>
                                <w:lang w:val="en-US"/>
                              </w:rPr>
                              <w:t>Learning Outcomes; Learning Styles; Trigonometry</w:t>
                            </w:r>
                          </w:p>
                          <w:p w14:paraId="03D89D14" w14:textId="77777777" w:rsidR="00034F31" w:rsidRDefault="00034F3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4" o:spid="_x0000_s1028" style="position:absolute;margin-left:-14.95pt;margin-top:9pt;width:507pt;height:27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" fillcolor="white [3201]" stroked="f">
                <v:textbox inset="2.53958mm,1.2694mm,2.53958mm,1.2694mm">
                  <w:txbxContent>
                    <w:p w14:paraId="0094B3A7" w14:textId="77C08FA2" w:rsidR="00034F31" w:rsidRPr="00AA66DA" w:rsidRDefault="00034F31">
                      <w:pPr>
                        <w:spacing w:after="40" w:line="240" w:lineRule="auto"/>
                        <w:textDirection w:val="btLr"/>
                        <w:rPr>
                          <w:lang w:val="en-US"/>
                        </w:rPr>
                      </w:pPr>
                      <w:r w:rsidRPr="00AA66DA">
                        <w:rPr>
                          <w:rFonts w:ascii="Bodoni" w:eastAsia="Bodoni" w:hAnsi="Bodoni" w:cs="Bodoni"/>
                          <w:b/>
                          <w:color w:val="000000"/>
                        </w:rPr>
                        <w:t xml:space="preserve">Abstract </w:t>
                      </w:r>
                    </w:p>
                    <w:p w14:paraId="63BCAD49" w14:textId="5070381F" w:rsidR="00034F31" w:rsidRPr="00034F31" w:rsidRDefault="00034F31">
                      <w:pPr>
                        <w:spacing w:after="40" w:line="240" w:lineRule="auto"/>
                        <w:jc w:val="both"/>
                        <w:textDirection w:val="btLr"/>
                        <w:rPr>
                          <w:rFonts w:ascii="Bodoni" w:eastAsia="Bodoni" w:hAnsi="Bodoni" w:cs="Bodoni"/>
                          <w:color w:val="000000" w:themeColor="text1"/>
                          <w:lang w:val="en-US"/>
                        </w:rPr>
                      </w:pPr>
                      <w:r w:rsidRPr="00034F31">
                        <w:rPr>
                          <w:rFonts w:ascii="Bodoni" w:eastAsia="Bodoni" w:hAnsi="Bodoni" w:cs="Bodoni"/>
                          <w:color w:val="000000" w:themeColor="text1"/>
                          <w:lang w:val="en-US"/>
                        </w:rPr>
                        <w:t xml:space="preserve">Poor knowledge of mathematical concepts leads to poor math learning outcomes among students. Good reasoning will equip students to explain and argue mathematically. Therefore, the purpose of this study is to determine the comparison of learning outcomes and learning styles of students on trigonometric comparison material in right triangles. The variables in this study are visual learning style, </w:t>
                      </w:r>
                      <w:proofErr w:type="spellStart"/>
                      <w:r w:rsidRPr="00034F31">
                        <w:rPr>
                          <w:rFonts w:ascii="Bodoni" w:eastAsia="Bodoni" w:hAnsi="Bodoni" w:cs="Bodoni"/>
                          <w:color w:val="000000" w:themeColor="text1"/>
                          <w:lang w:val="en-US"/>
                        </w:rPr>
                        <w:t>auditorial</w:t>
                      </w:r>
                      <w:proofErr w:type="spellEnd"/>
                      <w:r w:rsidRPr="00034F31">
                        <w:rPr>
                          <w:rFonts w:ascii="Bodoni" w:eastAsia="Bodoni" w:hAnsi="Bodoni" w:cs="Bodoni"/>
                          <w:color w:val="000000" w:themeColor="text1"/>
                          <w:lang w:val="en-US"/>
                        </w:rPr>
                        <w:t xml:space="preserve"> learning style, and kinesthetic learning style (VAK) as independent variables and math learning outcomes as dependent variables. The participants in this study amounted to 77 people who came from the tenth grade, majoring in mathematics and natural sciences. The data used in this research is quantitative. Quantitative data is data in the form of numbers obtained from the results of a questionnaire consisting of 21 questions and mathematics learning outcomes received after working on a description question with as many as 3 numbers. The data analysis technique in this study is using the Mann Whitney-U test. The results of the survey obtained 23 or 29.9% of students with visual learning styles, 41 or 53.2% of students with auditory learning styles, and 13 or 16.9% of students with kinesthetic learning styles. The average learning outcome of students with a visual learning style is 70.09, students with an </w:t>
                      </w:r>
                      <w:proofErr w:type="spellStart"/>
                      <w:r w:rsidRPr="00034F31">
                        <w:rPr>
                          <w:rFonts w:ascii="Bodoni" w:eastAsia="Bodoni" w:hAnsi="Bodoni" w:cs="Bodoni"/>
                          <w:color w:val="000000" w:themeColor="text1"/>
                          <w:lang w:val="en-US"/>
                        </w:rPr>
                        <w:t>auditorial</w:t>
                      </w:r>
                      <w:proofErr w:type="spellEnd"/>
                      <w:r w:rsidRPr="00034F31">
                        <w:rPr>
                          <w:rFonts w:ascii="Bodoni" w:eastAsia="Bodoni" w:hAnsi="Bodoni" w:cs="Bodoni"/>
                          <w:color w:val="000000" w:themeColor="text1"/>
                          <w:lang w:val="en-US"/>
                        </w:rPr>
                        <w:t xml:space="preserve"> learning style are 71.72, and students with a kinesthetic learning style are 69.29. Based on the results of the analysis using SPSS 26.0, the significance value of each paired group of learning styles is more than the significance level α = 0.05. Therefore, there is no difference in math learning outcomes between students whose learning styles are visual, auditory, and kinesthetic.</w:t>
                      </w:r>
                    </w:p>
                    <w:p w14:paraId="34A38FE5" w14:textId="77777777" w:rsidR="00034F31" w:rsidRPr="00034F31" w:rsidRDefault="00034F31">
                      <w:pPr>
                        <w:spacing w:after="40" w:line="240" w:lineRule="auto"/>
                        <w:jc w:val="both"/>
                        <w:textDirection w:val="btLr"/>
                        <w:rPr>
                          <w:lang w:val="en-US"/>
                        </w:rPr>
                      </w:pPr>
                    </w:p>
                    <w:p w14:paraId="5850BC62" w14:textId="00854469" w:rsidR="00034F31" w:rsidRPr="009A2AD0" w:rsidRDefault="00034F31">
                      <w:pPr>
                        <w:spacing w:after="0" w:line="240" w:lineRule="auto"/>
                        <w:jc w:val="both"/>
                        <w:textDirection w:val="btLr"/>
                        <w:rPr>
                          <w:lang w:val="en-US"/>
                        </w:rPr>
                      </w:pPr>
                      <w:r>
                        <w:rPr>
                          <w:rFonts w:ascii="Bodoni" w:eastAsia="Bodoni" w:hAnsi="Bodoni" w:cs="Bodoni"/>
                          <w:b/>
                          <w:color w:val="000000"/>
                        </w:rPr>
                        <w:t xml:space="preserve">Keywords: </w:t>
                      </w:r>
                      <w:r w:rsidR="009A2AD0" w:rsidRPr="009A2AD0">
                        <w:rPr>
                          <w:rFonts w:ascii="Bodoni" w:eastAsia="Bodoni" w:hAnsi="Bodoni" w:cs="Bodoni"/>
                          <w:color w:val="000000"/>
                          <w:lang w:val="en-US"/>
                        </w:rPr>
                        <w:t>Learning Outcomes; Learning Styles; Trigonometry</w:t>
                      </w:r>
                    </w:p>
                    <w:p w14:paraId="03D89D14" w14:textId="77777777" w:rsidR="00034F31" w:rsidRDefault="00034F31">
                      <w:pPr>
                        <w:spacing w:line="258" w:lineRule="auto"/>
                        <w:textDirection w:val="btLr"/>
                      </w:pPr>
                    </w:p>
                  </w:txbxContent>
                </v:textbox>
              </v:rect>
            </w:pict>
          </mc:Fallback>
        </mc:AlternateContent>
      </w:r>
    </w:p>
    <w:p w14:paraId="741D4BFA" w14:textId="77777777" w:rsidR="00B35D94" w:rsidRDefault="00B35D94"/>
    <w:p w14:paraId="22F8B81F" w14:textId="77777777" w:rsidR="00B35D94" w:rsidRDefault="00034F31">
      <w:r>
        <w:tab/>
      </w:r>
    </w:p>
    <w:p w14:paraId="3ABC524E" w14:textId="77777777" w:rsidR="00B35D94" w:rsidRDefault="00B35D94"/>
    <w:p w14:paraId="65AE5A64" w14:textId="77777777" w:rsidR="00B35D94" w:rsidRDefault="00B35D94"/>
    <w:p w14:paraId="6CCEA948" w14:textId="77777777" w:rsidR="00B35D94" w:rsidRDefault="00B35D94"/>
    <w:p w14:paraId="4F413221" w14:textId="77777777" w:rsidR="00B35D94" w:rsidRDefault="00B35D94"/>
    <w:p w14:paraId="132D0950" w14:textId="77777777" w:rsidR="00B35D94" w:rsidRDefault="00B35D94"/>
    <w:p w14:paraId="41CAF610" w14:textId="77777777" w:rsidR="00B35D94" w:rsidRDefault="00B35D94"/>
    <w:p w14:paraId="224E9FE7" w14:textId="77777777" w:rsidR="00B35D94" w:rsidRDefault="00B35D94"/>
    <w:p w14:paraId="3D591D76" w14:textId="77777777" w:rsidR="00B35D94" w:rsidRDefault="00B35D94"/>
    <w:p w14:paraId="1ECC08B8" w14:textId="77777777" w:rsidR="00B35D94" w:rsidRDefault="00B35D94"/>
    <w:p w14:paraId="14772DF3" w14:textId="77777777" w:rsidR="00B35D94" w:rsidRDefault="00034F31">
      <w:r>
        <w:rPr>
          <w:noProof/>
          <w:lang w:val="en-US" w:eastAsia="en-US"/>
        </w:rPr>
        <mc:AlternateContent>
          <mc:Choice Requires="wpg">
            <w:drawing>
              <wp:anchor distT="0" distB="0" distL="114300" distR="114300" simplePos="0" relativeHeight="251661312" behindDoc="0" locked="0" layoutInCell="1" hidden="0" allowOverlap="1" wp14:anchorId="6E732A4A" wp14:editId="532A39D7">
                <wp:simplePos x="0" y="0"/>
                <wp:positionH relativeFrom="column">
                  <wp:posOffset>-76199</wp:posOffset>
                </wp:positionH>
                <wp:positionV relativeFrom="paragraph">
                  <wp:posOffset>266700</wp:posOffset>
                </wp:positionV>
                <wp:extent cx="6219825"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2236088" y="3780000"/>
                          <a:ext cx="6219825"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-76199</wp:posOffset>
                </wp:positionH>
                <wp:positionV relativeFrom="paragraph">
                  <wp:posOffset>266700</wp:posOffset>
                </wp:positionV>
                <wp:extent cx="6219825" cy="19050"/>
                <wp:effectExtent b="0" l="0" r="0" t="0"/>
                <wp:wrapNone/>
                <wp:docPr id="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219825" cy="19050"/>
                        </a:xfrm>
                        <a:prstGeom prst="rect"/>
                        <a:ln/>
                      </pic:spPr>
                    </pic:pic>
                  </a:graphicData>
                </a:graphic>
              </wp:anchor>
            </w:drawing>
          </mc:Fallback>
        </mc:AlternateContent>
      </w:r>
    </w:p>
    <w:p w14:paraId="3B2A721C" w14:textId="77777777" w:rsidR="00B35D94" w:rsidRDefault="00B35D94">
      <w:pPr>
        <w:pBdr>
          <w:top w:val="nil"/>
          <w:left w:val="nil"/>
          <w:bottom w:val="nil"/>
          <w:right w:val="nil"/>
          <w:between w:val="nil"/>
        </w:pBdr>
        <w:spacing w:before="240" w:after="40" w:line="240" w:lineRule="auto"/>
        <w:jc w:val="both"/>
        <w:rPr>
          <w:rFonts w:ascii="Arial" w:eastAsia="Arial" w:hAnsi="Arial" w:cs="Arial"/>
          <w:b/>
          <w:color w:val="000000"/>
          <w:sz w:val="20"/>
          <w:szCs w:val="20"/>
        </w:rPr>
      </w:pPr>
    </w:p>
    <w:p w14:paraId="666863CD" w14:textId="72EB3F0B" w:rsidR="00B35D94" w:rsidRDefault="00AA66DA">
      <w:pPr>
        <w:pBdr>
          <w:top w:val="nil"/>
          <w:left w:val="nil"/>
          <w:bottom w:val="nil"/>
          <w:right w:val="nil"/>
          <w:between w:val="nil"/>
        </w:pBdr>
        <w:spacing w:before="240" w:after="40" w:line="276" w:lineRule="auto"/>
        <w:jc w:val="both"/>
        <w:rPr>
          <w:rFonts w:ascii="Bodoni" w:eastAsia="Bodoni" w:hAnsi="Bodoni" w:cs="Bodoni"/>
          <w:color w:val="000000"/>
        </w:rPr>
      </w:pPr>
      <w:r w:rsidRPr="00AA66DA">
        <w:rPr>
          <w:rFonts w:ascii="Bodoni" w:eastAsia="Bodoni" w:hAnsi="Bodoni" w:cs="Bodoni"/>
          <w:b/>
          <w:color w:val="000000"/>
        </w:rPr>
        <w:t xml:space="preserve">INTRODUCTION </w:t>
      </w:r>
    </w:p>
    <w:p w14:paraId="1DBA1FF4" w14:textId="3E0B6158" w:rsidR="00231C32" w:rsidRDefault="00231C32" w:rsidP="00231C32">
      <w:pPr>
        <w:pBdr>
          <w:top w:val="nil"/>
          <w:left w:val="nil"/>
          <w:bottom w:val="nil"/>
          <w:right w:val="nil"/>
          <w:between w:val="nil"/>
        </w:pBdr>
        <w:spacing w:after="0" w:line="276" w:lineRule="auto"/>
        <w:ind w:firstLine="567"/>
        <w:jc w:val="both"/>
        <w:rPr>
          <w:rFonts w:ascii="Bodoni MT" w:hAnsi="Bodoni MT"/>
          <w:spacing w:val="-2"/>
          <w:lang w:val="en-ID" w:eastAsia="zh-CN"/>
        </w:rPr>
      </w:pPr>
      <w:r w:rsidRPr="00231C32">
        <w:rPr>
          <w:rFonts w:ascii="Bodoni MT" w:hAnsi="Bodoni MT"/>
          <w:spacing w:val="-2"/>
          <w:lang w:val="en-ID" w:eastAsia="zh-CN"/>
        </w:rPr>
        <w:t xml:space="preserve">Mathematics is a universal science that drives the development of modern science and technology. Mathematics has a vital role in various disciplines that have implications for the exploratory power of the human mind </w:t>
      </w:r>
      <w:r w:rsidRPr="00231C32">
        <w:rPr>
          <w:rFonts w:ascii="Bodoni MT" w:hAnsi="Bodoni MT"/>
          <w:spacing w:val="-2"/>
          <w:lang w:val="en-ID" w:eastAsia="zh-CN"/>
        </w:rPr>
        <w:fldChar w:fldCharType="begin" w:fldLock="1"/>
      </w:r>
      <w:r w:rsidR="009A2AD0">
        <w:rPr>
          <w:rFonts w:ascii="Bodoni MT" w:hAnsi="Bodoni MT"/>
          <w:spacing w:val="-2"/>
          <w:lang w:val="en-ID" w:eastAsia="zh-CN"/>
        </w:rPr>
        <w:instrText>ADDIN CSL_CITATION {"citationItems":[{"id":"ITEM-1","itemData":{"DOI":"10.1007/s10956-015-9581-5","ISSN":"15731839","abstract":"Science and mathematics are becoming computational endeavors. This fact is reflected in the recently released Next Generation Science Standards and the decision to include “computational thinking” as a core scientific practice. With this addition, and the increased presence of computation in mathematics and scientific contexts, a new urgency has come to the challenge of defining computational thinking and providing a theoretical grounding for what form it should take in school science and mathematics classrooms. This paper presents a response to this challenge by proposing a definition of computational thinking for mathematics and science in the form of a taxonomy consisting of four main categories: data practices, modeling and simulation practices, computational problem solving practices, and systems thinking practices. In formulating this taxonomy, we draw on the existing computational thinking literature, interviews with mathematicians and scientists, and exemplary computational thinking instructional materials. This work was undertaken as part of a larger effort to infuse computational thinking into high school science and mathematics curricular materials. In this paper, we argue for the approach of embedding computational thinking in mathematics and science contexts, present the taxonomy, and discuss how we envision the taxonomy being used to bring current educational efforts in line with the increasingly computational nature of modern science and mathematics.","author":[{"dropping-particle":"","family":"Weintrop","given":"David","non-dropping-particle":"","parse-names":false,"suffix":""},{"dropping-particle":"","family":"Beheshti","given":"Elham","non-dropping-particle":"","parse-names":false,"suffix":""},{"dropping-particle":"","family":"Horn","given":"Michael","non-dropping-particle":"","parse-names":false,"suffix":""},{"dropping-particle":"","family":"Orton","given":"Kai","non-dropping-particle":"","parse-names":false,"suffix":""},{"dropping-particle":"","family":"Jona","given":"Kemi","non-dropping-particle":"","parse-names":false,"suffix":""},{"dropping-particle":"","family":"Trouille","given":"Laura","non-dropping-particle":"","parse-names":false,"suffix":""},{"dropping-particle":"","family":"Wilensky","given":"Uri","non-dropping-particle":"","parse-names":false,"suffix":""}],"container-title":"Journal of Science Education and Technology","id":"ITEM-1","issue":"1","issued":{"date-parts":[["2016"]]},"page":"127-147","publisher":"Springer Netherlands","title":"Defining Computational Thinking for Mathematics and Science Classrooms","type":"article-journal","volume":"25"},"uris":["http://www.mendeley.com/documents/?uuid=0c0a9b33-ce2c-41d6-9acd-988e3f4ba645"]}],"mendeley":{"formattedCitation":"(Weintrop et al., 2016)"},"properties":{"noteIndex":0},"schema":"https://github.com/citation-style-language/schema/raw/master/csl-citation.json"}</w:instrText>
      </w:r>
      <w:r w:rsidRPr="00231C32">
        <w:rPr>
          <w:rFonts w:ascii="Bodoni MT" w:hAnsi="Bodoni MT"/>
          <w:spacing w:val="-2"/>
          <w:lang w:val="en-ID" w:eastAsia="zh-CN"/>
        </w:rPr>
        <w:fldChar w:fldCharType="separate"/>
      </w:r>
      <w:r w:rsidR="009A2AD0" w:rsidRPr="009A2AD0">
        <w:rPr>
          <w:rFonts w:ascii="Bodoni MT" w:hAnsi="Bodoni MT"/>
          <w:noProof/>
          <w:spacing w:val="-2"/>
          <w:lang w:val="en-ID" w:eastAsia="zh-CN"/>
        </w:rPr>
        <w:t>(Weintrop et al., 2016)</w:t>
      </w:r>
      <w:r w:rsidRPr="00231C32">
        <w:rPr>
          <w:rFonts w:ascii="Bodoni MT" w:hAnsi="Bodoni MT"/>
          <w:spacing w:val="-2"/>
          <w:lang w:val="en-ID" w:eastAsia="zh-CN"/>
        </w:rPr>
        <w:fldChar w:fldCharType="end"/>
      </w:r>
      <w:r w:rsidRPr="00231C32">
        <w:rPr>
          <w:rFonts w:ascii="Bodoni MT" w:hAnsi="Bodoni MT"/>
          <w:spacing w:val="-2"/>
          <w:lang w:val="en-ID" w:eastAsia="zh-CN"/>
        </w:rPr>
        <w:t xml:space="preserve"> At the psychological level, learning mathematics helps develop analytical thinking, composing ideas, and communicating mathematically precise views </w:t>
      </w:r>
      <w:r w:rsidRPr="00231C32">
        <w:rPr>
          <w:rFonts w:ascii="Bodoni MT" w:hAnsi="Bodoni MT"/>
          <w:spacing w:val="-2"/>
          <w:lang w:val="en-ID" w:eastAsia="zh-CN"/>
        </w:rPr>
        <w:fldChar w:fldCharType="begin" w:fldLock="1"/>
      </w:r>
      <w:r w:rsidR="009A2AD0">
        <w:rPr>
          <w:rFonts w:ascii="Bodoni MT" w:hAnsi="Bodoni MT"/>
          <w:spacing w:val="-2"/>
          <w:lang w:val="en-ID" w:eastAsia="zh-CN"/>
        </w:rPr>
        <w:instrText>ADDIN CSL_CITATION {"citationItems":[{"id":"ITEM-1","itemData":{"DOI":"10.29333/iejme/11003","abstract":"Developing critical thinking practices among young learners through mathematics education is a topic of attention for mathematics education research community. Learners’ critical thinking concerning cognitive and social aspects of their mathematics education have been explored in several research studies. However, learners’ critical thinking concerning their personal beliefs about their mathematics learning process have not received much consideration. In this paper, learners’ practice with thinking critically about and their potential to suggest changes in their mathematics learning process is explored based on their expressed beliefs about learning mathematics. Learners of eighth and ninth grade in two Norwegian schools responded to a questionnaire and were interviewed to gather their opinions concerning their mathematics learning process. Data analysis indicates that learners seldom think critically, and hold inconsistent beliefs about mathematics and its learning process. Moreover, they struggle to observe their own beliefs critically, and hesitate in suggesting alternatives to make learning mathematics meaningful for them. Consequently, learners’ critical attitude towards their mathematics learning process and their personal beliefs in order to gain a meta-perspective of their learning contexts does not seem to be evolving effectively. However, if learners are encouraged to think critically about mathematics education, their potential of contributing to improve their mathematics learning process becomes visible. We recommend that young learners get training in and are encouraged to think critically about their mathematics learning process so that they are equipped to make reflected choices related to learning mathematics in their personal lives","author":[{"dropping-particle":"","family":"Sachdeva","given":"Shipra","non-dropping-particle":"","parse-names":false,"suffix":""},{"dropping-particle":"","family":"Eggen","given":"Per-Odd","non-dropping-particle":"","parse-names":false,"suffix":""}],"container-title":"International Electronic Journal of Mathematics Education","id":"ITEM-1","issue":"3","issued":{"date-parts":[["2021"]]},"page":"1-18","title":"Learners’ Critical Thinking About Learning Mathematics","type":"article-journal","volume":"16"},"uris":["http://www.mendeley.com/documents/?uuid=0cd41860-ba2d-485b-b9a4-f16d7b042c03"]}],"mendeley":{"formattedCitation":"(Sachdeva &amp; Eggen, 2021)"},"properties":{"noteIndex":0},"schema":"https://github.com/citation-style-language/schema/raw/master/csl-citation.json"}</w:instrText>
      </w:r>
      <w:r w:rsidRPr="00231C32">
        <w:rPr>
          <w:rFonts w:ascii="Bodoni MT" w:hAnsi="Bodoni MT"/>
          <w:spacing w:val="-2"/>
          <w:lang w:val="en-ID" w:eastAsia="zh-CN"/>
        </w:rPr>
        <w:fldChar w:fldCharType="separate"/>
      </w:r>
      <w:r w:rsidR="009A2AD0" w:rsidRPr="009A2AD0">
        <w:rPr>
          <w:rFonts w:ascii="Bodoni MT" w:hAnsi="Bodoni MT"/>
          <w:noProof/>
          <w:spacing w:val="-2"/>
          <w:lang w:val="en-ID" w:eastAsia="zh-CN"/>
        </w:rPr>
        <w:t>(Sachdeva &amp; Eggen, 2021)</w:t>
      </w:r>
      <w:r w:rsidRPr="00231C32">
        <w:rPr>
          <w:rFonts w:ascii="Bodoni MT" w:hAnsi="Bodoni MT"/>
          <w:spacing w:val="-2"/>
          <w:lang w:val="en-ID" w:eastAsia="zh-CN"/>
        </w:rPr>
        <w:fldChar w:fldCharType="end"/>
      </w:r>
      <w:r w:rsidRPr="00231C32">
        <w:rPr>
          <w:rFonts w:ascii="Bodoni MT" w:hAnsi="Bodoni MT"/>
          <w:spacing w:val="-2"/>
          <w:lang w:val="en-ID" w:eastAsia="zh-CN"/>
        </w:rPr>
        <w:t xml:space="preserve"> Mathematics helps in the proper understanding of one's ideas </w:t>
      </w:r>
      <w:r w:rsidRPr="00231C32">
        <w:rPr>
          <w:rFonts w:ascii="Bodoni MT" w:hAnsi="Bodoni MT"/>
          <w:spacing w:val="-2"/>
          <w:lang w:val="en-ID" w:eastAsia="zh-CN"/>
        </w:rPr>
        <w:fldChar w:fldCharType="begin" w:fldLock="1"/>
      </w:r>
      <w:r w:rsidRPr="00231C32">
        <w:rPr>
          <w:rFonts w:ascii="Bodoni MT" w:hAnsi="Bodoni MT"/>
          <w:spacing w:val="-2"/>
          <w:lang w:val="en-ID" w:eastAsia="zh-CN"/>
        </w:rPr>
        <w:instrText>ADDIN CSL_CITATION {"citationItems":[{"id":"ITEM-1","itemData":{"ISSN":"2717-8587","author":[{"dropping-particle":"","family":"Algani","given":"Yousef Methkal Abd","non-dropping-particle":"","parse-names":false,"suffix":""}],"container-title":"Journal for the Mathematics Education and Teaching Practices","id":"ITEM-1","issue":"1","issued":{"date-parts":[["2022"]]},"page":"23-29","title":"Role, need and benefits of mathematics in the development of society","type":"article-journal","volume":"3"},"uris":["http://www.mendeley.com/documents/?uuid=623a5038-3a5a-42e1-ad98-06e5b1b764b6"]}],"mendeley":{"formattedCitation":"(Algani, 2022)","plainTextFormattedCitation":"(Algani, 2022)","previouslyFormattedCitation":"(Algani, 2022)"},"properties":{"noteIndex":0},"schema":"https://github.com/citation-style-language/schema/raw/master/csl-citation.json"}</w:instrText>
      </w:r>
      <w:r w:rsidRPr="00231C32">
        <w:rPr>
          <w:rFonts w:ascii="Bodoni MT" w:hAnsi="Bodoni MT"/>
          <w:spacing w:val="-2"/>
          <w:lang w:val="en-ID" w:eastAsia="zh-CN"/>
        </w:rPr>
        <w:fldChar w:fldCharType="separate"/>
      </w:r>
      <w:r w:rsidRPr="00231C32">
        <w:rPr>
          <w:rFonts w:ascii="Bodoni MT" w:hAnsi="Bodoni MT"/>
          <w:noProof/>
          <w:spacing w:val="-2"/>
          <w:lang w:val="en-ID" w:eastAsia="zh-CN"/>
        </w:rPr>
        <w:t>(Algani, 2022)</w:t>
      </w:r>
      <w:r w:rsidRPr="00231C32">
        <w:rPr>
          <w:rFonts w:ascii="Bodoni MT" w:hAnsi="Bodoni MT"/>
          <w:spacing w:val="-2"/>
          <w:lang w:val="en-ID" w:eastAsia="zh-CN"/>
        </w:rPr>
        <w:fldChar w:fldCharType="end"/>
      </w:r>
      <w:r w:rsidRPr="00231C32">
        <w:rPr>
          <w:rFonts w:ascii="Bodoni MT" w:hAnsi="Bodoni MT"/>
          <w:spacing w:val="-2"/>
          <w:lang w:val="en-ID" w:eastAsia="zh-CN"/>
        </w:rPr>
        <w:t xml:space="preserve">. Achievement in Mathematics is a fundamental indicator of school system performance in any country </w:t>
      </w:r>
      <w:r w:rsidRPr="00231C32">
        <w:rPr>
          <w:rFonts w:ascii="Bodoni MT" w:hAnsi="Bodoni MT"/>
          <w:spacing w:val="-2"/>
          <w:lang w:val="en-ID" w:eastAsia="zh-CN"/>
        </w:rPr>
        <w:fldChar w:fldCharType="begin" w:fldLock="1"/>
      </w:r>
      <w:r w:rsidRPr="00231C32">
        <w:rPr>
          <w:rFonts w:ascii="Bodoni MT" w:hAnsi="Bodoni MT"/>
          <w:spacing w:val="-2"/>
          <w:lang w:val="en-ID" w:eastAsia="zh-CN"/>
        </w:rPr>
        <w:instrText>ADDIN CSL_CITATION {"citationItems":[{"id":"ITEM-1","itemData":{"DOI":"10.1186/s40536-023-00174-8","ISBN":"4053602300","ISSN":"21960739","abstract":"The Programme for International Student Assessment (PISA) has become the world’s largest comparative assessment of academic achievement. While hundreds of studies have examined the factors predicting student achievement in PISA, a comprehensive overview of the main predictors has yet to be completed. To address this gap, we conducted a systematic literature review of factors predicting mathematics performance in PISA. Guided by Bronfenbrenner’s ecological model of human development, we synthesized the findings of 156 peer reviewed articles. The analysis identified 135 factors that fall into five broad categories: individual student, household context, school community, education systems and macro society. The analysis uncovered seven factors that are consistently associated with math achievement in PISA. Student grade level and overall family SES (socio-economic status) are consistently positively associated with math achievement while five factors are consistently negatively associated with math achievement: student absenteeism and lack of punctuality, school repeating and dropout rate, school prevalence of students’ misbehavior, shortage of teachers and general staff, and student-centered instruction. Fourteen factors tend to be positively or negatively associated with math achievement. The explanatory power of many other factors, however, remain mixed. Explanations for this result include methodological differences, complex interactions across variables, and underlying patterns related to national-cultural context or other meso or macro-level variables. Implications for policy and research are discussed.","author":[{"dropping-particle":"","family":"Wang","given":"Xiaofang Sarah","non-dropping-particle":"","parse-names":false,"suffix":""},{"dropping-particle":"","family":"Perry","given":"Laura B.","non-dropping-particle":"","parse-names":false,"suffix":""},{"dropping-particle":"","family":"Malpique","given":"Anabela","non-dropping-particle":"","parse-names":false,"suffix":""},{"dropping-particle":"","family":"Ide","given":"Tobias","non-dropping-particle":"","parse-names":false,"suffix":""}],"container-title":"Large-Scale Assessments in Education","id":"ITEM-1","issue":"1","issued":{"date-parts":[["2023"]]},"number-of-pages":"1-42","publisher":"Springer US","title":"Factors predicting mathematics achievement in PISA: a systematic review","type":"book","volume":"11"},"uris":["http://www.mendeley.com/documents/?uuid=95c6ee8c-fa81-4871-9e48-2520d3ed489c"]}],"mendeley":{"formattedCitation":"(Wang et al., 2023)","plainTextFormattedCitation":"(Wang et al., 2023)","previouslyFormattedCitation":"(Wang et al., 2023)"},"properties":{"noteIndex":0},"schema":"https://github.com/citation-style-language/schema/raw/master/csl-citation.json"}</w:instrText>
      </w:r>
      <w:r w:rsidRPr="00231C32">
        <w:rPr>
          <w:rFonts w:ascii="Bodoni MT" w:hAnsi="Bodoni MT"/>
          <w:spacing w:val="-2"/>
          <w:lang w:val="en-ID" w:eastAsia="zh-CN"/>
        </w:rPr>
        <w:fldChar w:fldCharType="separate"/>
      </w:r>
      <w:r w:rsidRPr="00231C32">
        <w:rPr>
          <w:rFonts w:ascii="Bodoni MT" w:hAnsi="Bodoni MT"/>
          <w:noProof/>
          <w:spacing w:val="-2"/>
          <w:lang w:val="en-ID" w:eastAsia="zh-CN"/>
        </w:rPr>
        <w:t>(Wang et al., 2023)</w:t>
      </w:r>
      <w:r w:rsidRPr="00231C32">
        <w:rPr>
          <w:rFonts w:ascii="Bodoni MT" w:hAnsi="Bodoni MT"/>
          <w:spacing w:val="-2"/>
          <w:lang w:val="en-ID" w:eastAsia="zh-CN"/>
        </w:rPr>
        <w:fldChar w:fldCharType="end"/>
      </w:r>
      <w:r w:rsidRPr="00231C32">
        <w:rPr>
          <w:rFonts w:ascii="Bodoni MT" w:hAnsi="Bodoni MT"/>
          <w:spacing w:val="-2"/>
          <w:lang w:val="en-ID" w:eastAsia="zh-CN"/>
        </w:rPr>
        <w:t xml:space="preserve">. In addition, mathematics is a crucial subject for countries with developing economies, as it enables students to </w:t>
      </w:r>
      <w:proofErr w:type="spellStart"/>
      <w:r w:rsidRPr="00231C32">
        <w:rPr>
          <w:rFonts w:ascii="Bodoni MT" w:hAnsi="Bodoni MT"/>
          <w:spacing w:val="-2"/>
          <w:lang w:val="en-ID" w:eastAsia="zh-CN"/>
        </w:rPr>
        <w:t>enroll</w:t>
      </w:r>
      <w:proofErr w:type="spellEnd"/>
      <w:r w:rsidRPr="00231C32">
        <w:rPr>
          <w:rFonts w:ascii="Bodoni MT" w:hAnsi="Bodoni MT"/>
          <w:spacing w:val="-2"/>
          <w:lang w:val="en-ID" w:eastAsia="zh-CN"/>
        </w:rPr>
        <w:t xml:space="preserve"> in engineering, science, accounting, and many others essential to support economic development </w:t>
      </w:r>
      <w:r w:rsidRPr="00231C32">
        <w:rPr>
          <w:rFonts w:ascii="Bodoni MT" w:hAnsi="Bodoni MT"/>
          <w:spacing w:val="-2"/>
          <w:lang w:val="en-ID" w:eastAsia="zh-CN"/>
        </w:rPr>
        <w:fldChar w:fldCharType="begin" w:fldLock="1"/>
      </w:r>
      <w:r w:rsidR="009A2AD0">
        <w:rPr>
          <w:rFonts w:ascii="Bodoni MT" w:hAnsi="Bodoni MT"/>
          <w:spacing w:val="-2"/>
          <w:lang w:val="en-ID" w:eastAsia="zh-CN"/>
        </w:rPr>
        <w:instrText>ADDIN CSL_CITATION {"citationItems":[{"id":"ITEM-1","itemData":{"ISBN":"0256-0100","ISSN":"1741-1432","PMID":"14742088","abstract":"This study, using a non-experimental, exploratory and descriptive method, established learners' and educators' views about factors that contribute to poor performance in mathematics and physical science. Participants were purposefully selected from seven schools with poor pass rates in District 3 of Tshwane North. Focused group interviews with ten Grade 11 learners from each school were used as a means to collect data. In addition, one-on-one semistructured interviews were conducted with ten educators from the participating schools. Results indicated that two factors were identifiable. The first identified to have a direct influence related to teaching strategies, content knowledge, motivation, laboratory use, and non-completion of the syllabus in a year. The second factor, associated with indirect influences, was attributed to the role played by parents in their children's education, and general language usage together with its understanding in the two subjects. Recommendations as well as suggestions for further research aimed at addressing the identified factors are advanced.","author":[{"dropping-particle":"","family":"Makgato","given":"M","non-dropping-particle":"","parse-names":false,"suffix":""},{"dropping-particle":"","family":"Mji","given":"A","non-dropping-particle":"","parse-names":false,"suffix":""}],"container-title":"South African Journal of Education","id":"ITEM-1","issue":"2","issued":{"date-parts":[["2006"]]},"page":"253-266","title":"Factors associated with high school learners' poor performance: a spotlight on mathematics and physical science","type":"article-journal","volume":"26"},"uris":["http://www.mendeley.com/documents/?uuid=fe8e93ba-7123-4640-a25d-f8b142e5bed3"]}],"mendeley":{"formattedCitation":"(Makgato &amp; Mji, 2006)"},"properties":{"noteIndex":0},"schema":"https://github.com/citation-style-language/schema/raw/master/csl-citation.json"}</w:instrText>
      </w:r>
      <w:r w:rsidRPr="00231C32">
        <w:rPr>
          <w:rFonts w:ascii="Bodoni MT" w:hAnsi="Bodoni MT"/>
          <w:spacing w:val="-2"/>
          <w:lang w:val="en-ID" w:eastAsia="zh-CN"/>
        </w:rPr>
        <w:fldChar w:fldCharType="separate"/>
      </w:r>
      <w:r w:rsidR="009A2AD0" w:rsidRPr="009A2AD0">
        <w:rPr>
          <w:rFonts w:ascii="Bodoni MT" w:hAnsi="Bodoni MT"/>
          <w:noProof/>
          <w:spacing w:val="-2"/>
          <w:lang w:val="en-ID" w:eastAsia="zh-CN"/>
        </w:rPr>
        <w:t>(Makgato &amp; Mji, 2006)</w:t>
      </w:r>
      <w:r w:rsidRPr="00231C32">
        <w:rPr>
          <w:rFonts w:ascii="Bodoni MT" w:hAnsi="Bodoni MT"/>
          <w:spacing w:val="-2"/>
          <w:lang w:val="en-ID" w:eastAsia="zh-CN"/>
        </w:rPr>
        <w:fldChar w:fldCharType="end"/>
      </w:r>
      <w:r w:rsidRPr="00231C32">
        <w:rPr>
          <w:rFonts w:ascii="Bodoni MT" w:hAnsi="Bodoni MT"/>
          <w:spacing w:val="-2"/>
          <w:lang w:val="en-ID" w:eastAsia="zh-CN"/>
        </w:rPr>
        <w:t xml:space="preserve"> This condition is inversely proportional to the state of education. Global information comes from developing countries. For example, in South Africa, it was found that </w:t>
      </w:r>
      <w:r w:rsidRPr="00231C32">
        <w:rPr>
          <w:rFonts w:ascii="Bodoni MT" w:hAnsi="Bodoni MT"/>
          <w:spacing w:val="-2"/>
          <w:lang w:val="en-ID" w:eastAsia="zh-CN"/>
        </w:rPr>
        <w:lastRenderedPageBreak/>
        <w:t xml:space="preserve">students' interest in the field of mathematical sciences still needs to be higher </w:t>
      </w:r>
      <w:r w:rsidRPr="00231C32">
        <w:rPr>
          <w:rFonts w:ascii="Bodoni MT" w:hAnsi="Bodoni MT"/>
          <w:spacing w:val="-2"/>
          <w:lang w:val="en-ID" w:eastAsia="zh-CN"/>
        </w:rPr>
        <w:fldChar w:fldCharType="begin" w:fldLock="1"/>
      </w:r>
      <w:r w:rsidR="009A2AD0">
        <w:rPr>
          <w:rFonts w:ascii="Bodoni MT" w:hAnsi="Bodoni MT"/>
          <w:spacing w:val="-2"/>
          <w:lang w:val="en-ID" w:eastAsia="zh-CN"/>
        </w:rPr>
        <w:instrText>ADDIN CSL_CITATION {"citationItems":[{"id":"ITEM-1","itemData":{"DOI":"10.15700/saje.v38n1a1440","ISSN":"02560100","abstract":"Mathematics is a key subject necessary to the promotion of economic development, particularly in developing countries; however, South African learners perform poorly in Mathematics when benchmarked against their counterparts in other countries. One way to address this issue is by taking cognisance of the learners’ learning styles when teaching. Using the Dunn and Dunn model and the VARK model, the study on which this article is based explored the inter-relationships of Mathematics achievement and seven learning styles, as well as the learning styles of high and low achievers. To this end, the investigation employed a mainly quantitative research design involving 240 learners from one secondary school in the North-West Province. The learners completed a structured questionnaire. Among others, the results revealed that an individual learning style correlated the highest with Mathematics performance. Through follow-up interviews with 10 high achievers, the study also found that context influenced learning style preferences: in addition to individual learning at home, high performers preferred reading/writing and group learning in the classroom. The study recommends that teachers should create a positive learning environment at school, and use teaching methods that accommodate a variety of learning styles. Further research is needed to determine the impact of demographic variables on learning style preferences in Mathematics.","author":[{"dropping-particle":"","family":"Bosman","given":"Anne","non-dropping-particle":"","parse-names":false,"suffix":""},{"dropping-particle":"","family":"Schulze","given":"Salomé","non-dropping-particle":"","parse-names":false,"suffix":""}],"container-title":"South African Journal of Education","id":"ITEM-1","issue":"1","issued":{"date-parts":[["2018"]]},"page":"1-8","title":"Learning style preferences and mathematics achievement of secondary school learners","type":"article-journal","volume":"38"},"uris":["http://www.mendeley.com/documents/?uuid=bc7202c7-7e64-4d80-b42d-587f118bbb37"]}],"mendeley":{"formattedCitation":"(Bosman &amp; Schulze, 2018)"},"properties":{"noteIndex":0},"schema":"https://github.com/citation-style-language/schema/raw/master/csl-citation.json"}</w:instrText>
      </w:r>
      <w:r w:rsidRPr="00231C32">
        <w:rPr>
          <w:rFonts w:ascii="Bodoni MT" w:hAnsi="Bodoni MT"/>
          <w:spacing w:val="-2"/>
          <w:lang w:val="en-ID" w:eastAsia="zh-CN"/>
        </w:rPr>
        <w:fldChar w:fldCharType="separate"/>
      </w:r>
      <w:r w:rsidR="009A2AD0" w:rsidRPr="009A2AD0">
        <w:rPr>
          <w:rFonts w:ascii="Bodoni MT" w:hAnsi="Bodoni MT"/>
          <w:noProof/>
          <w:spacing w:val="-2"/>
          <w:lang w:val="en-ID" w:eastAsia="zh-CN"/>
        </w:rPr>
        <w:t>(Bosman &amp; Schulze, 2018)</w:t>
      </w:r>
      <w:r w:rsidRPr="00231C32">
        <w:rPr>
          <w:rFonts w:ascii="Bodoni MT" w:hAnsi="Bodoni MT"/>
          <w:spacing w:val="-2"/>
          <w:lang w:val="en-ID" w:eastAsia="zh-CN"/>
        </w:rPr>
        <w:fldChar w:fldCharType="end"/>
      </w:r>
      <w:r w:rsidRPr="00231C32">
        <w:rPr>
          <w:rFonts w:ascii="Bodoni MT" w:hAnsi="Bodoni MT"/>
          <w:spacing w:val="-2"/>
          <w:lang w:val="en-ID" w:eastAsia="zh-CN"/>
        </w:rPr>
        <w:t xml:space="preserve"> The famous Trends in International Mathematics and Science Study (TIMSS), conducted in 2015, found that student achievement in Indonesia was poor. 27 </w:t>
      </w:r>
      <w:proofErr w:type="spellStart"/>
      <w:r w:rsidRPr="00231C32">
        <w:rPr>
          <w:rFonts w:ascii="Bodoni MT" w:hAnsi="Bodoni MT"/>
          <w:spacing w:val="-2"/>
          <w:lang w:val="en-ID" w:eastAsia="zh-CN"/>
        </w:rPr>
        <w:t>percent</w:t>
      </w:r>
      <w:proofErr w:type="spellEnd"/>
      <w:r w:rsidRPr="00231C32">
        <w:rPr>
          <w:rFonts w:ascii="Bodoni MT" w:hAnsi="Bodoni MT"/>
          <w:spacing w:val="-2"/>
          <w:lang w:val="en-ID" w:eastAsia="zh-CN"/>
        </w:rPr>
        <w:t xml:space="preserve"> of 4th-grade students still needed to meet the standard </w:t>
      </w:r>
      <w:r w:rsidRPr="00231C32">
        <w:rPr>
          <w:rFonts w:ascii="Bodoni MT" w:hAnsi="Bodoni MT"/>
          <w:spacing w:val="-2"/>
          <w:lang w:val="en-ID" w:eastAsia="zh-CN"/>
        </w:rPr>
        <w:fldChar w:fldCharType="begin" w:fldLock="1"/>
      </w:r>
      <w:r w:rsidRPr="00231C32">
        <w:rPr>
          <w:rFonts w:ascii="Bodoni MT" w:hAnsi="Bodoni MT"/>
          <w:spacing w:val="-2"/>
          <w:lang w:val="en-ID" w:eastAsia="zh-CN"/>
        </w:rPr>
        <w:instrText>ADDIN CSL_CITATION {"citationItems":[{"id":"ITEM-1","itemData":{"DOI":"10.1016/j.ijedudev.2021.102436","ISSN":"07380593","abstract":"We examine the relationship between schooling completed and mathematics learning from 2000 to 2014 by developing learning profiles for Indonesia. Using nearly-nationally representative survey data, we find a large gap between students’ ability and standards set by the national curriculum. Learning declined over 14 years, a loss of a fourth of a standard deviation. To put this loss in context, the average child in grade 7 in 2014 achieved the same numeracy mastry as the average child in grade 4 in 2000. The reduction in learning was widespread, affecting all subgroups. Junior and senior secondary enrollment increased over this timeframe, but this decline was not due to changes in student composition.","author":[{"dropping-particle":"","family":"Beatty","given":"Amanda","non-dropping-particle":"","parse-names":false,"suffix":""},{"dropping-particle":"","family":"Berkhout","given":"Emilie","non-dropping-particle":"","parse-names":false,"suffix":""},{"dropping-particle":"","family":"Bima","given":"Luhur","non-dropping-particle":"","parse-names":false,"suffix":""},{"dropping-particle":"","family":"Pradhan","given":"Menno","non-dropping-particle":"","parse-names":false,"suffix":""},{"dropping-particle":"","family":"Suryadarma","given":"Daniel","non-dropping-particle":"","parse-names":false,"suffix":""}],"container-title":"International Journal of Educational Development","id":"ITEM-1","issued":{"date-parts":[["2021"]]},"page":"1-16","publisher":"Elsevier Ltd","title":"Schooling progress, learning reversal: Indonesia's learning profiles between 2000 and 2014","type":"article-journal","volume":"85"},"uris":["http://www.mendeley.com/documents/?uuid=415f047c-c222-4d47-b2a0-80cda8783736"]}],"mendeley":{"formattedCitation":"(Beatty et al., 2021)","plainTextFormattedCitation":"(Beatty et al., 2021)","previouslyFormattedCitation":"(Beatty et al., 2021)"},"properties":{"noteIndex":0},"schema":"https://github.com/citation-style-language/schema/raw/master/csl-citation.json"}</w:instrText>
      </w:r>
      <w:r w:rsidRPr="00231C32">
        <w:rPr>
          <w:rFonts w:ascii="Bodoni MT" w:hAnsi="Bodoni MT"/>
          <w:spacing w:val="-2"/>
          <w:lang w:val="en-ID" w:eastAsia="zh-CN"/>
        </w:rPr>
        <w:fldChar w:fldCharType="separate"/>
      </w:r>
      <w:r w:rsidRPr="00231C32">
        <w:rPr>
          <w:rFonts w:ascii="Bodoni MT" w:hAnsi="Bodoni MT"/>
          <w:noProof/>
          <w:spacing w:val="-2"/>
          <w:lang w:val="en-ID" w:eastAsia="zh-CN"/>
        </w:rPr>
        <w:t>(Beatty et al., 2021)</w:t>
      </w:r>
      <w:r w:rsidRPr="00231C32">
        <w:rPr>
          <w:rFonts w:ascii="Bodoni MT" w:hAnsi="Bodoni MT"/>
          <w:spacing w:val="-2"/>
          <w:lang w:val="en-ID" w:eastAsia="zh-CN"/>
        </w:rPr>
        <w:fldChar w:fldCharType="end"/>
      </w:r>
      <w:r w:rsidRPr="00231C32">
        <w:rPr>
          <w:rFonts w:ascii="Bodoni MT" w:hAnsi="Bodoni MT"/>
          <w:spacing w:val="-2"/>
          <w:lang w:val="en-ID" w:eastAsia="zh-CN"/>
        </w:rPr>
        <w:t xml:space="preserve">. </w:t>
      </w:r>
    </w:p>
    <w:p w14:paraId="66F9F46C" w14:textId="3BAF9AA5" w:rsidR="00231C32" w:rsidRDefault="00231C32" w:rsidP="00231C32">
      <w:pPr>
        <w:pBdr>
          <w:top w:val="nil"/>
          <w:left w:val="nil"/>
          <w:bottom w:val="nil"/>
          <w:right w:val="nil"/>
          <w:between w:val="nil"/>
        </w:pBdr>
        <w:spacing w:after="0" w:line="276" w:lineRule="auto"/>
        <w:ind w:firstLine="567"/>
        <w:jc w:val="both"/>
        <w:rPr>
          <w:rFonts w:ascii="Bodoni MT" w:hAnsi="Bodoni MT"/>
          <w:spacing w:val="-2"/>
          <w:lang w:val="en-ID" w:eastAsia="zh-CN"/>
        </w:rPr>
      </w:pPr>
      <w:r w:rsidRPr="00231C32">
        <w:rPr>
          <w:rFonts w:ascii="Bodoni MT" w:hAnsi="Bodoni MT"/>
          <w:spacing w:val="-2"/>
          <w:lang w:val="en-ID" w:eastAsia="zh-CN"/>
        </w:rPr>
        <w:t xml:space="preserve">It has been believed by various parties that mathematics has a significant contribution to the development and progress of a nation. Therefore, it is necessary to improve the quality of mathematics education in order to improve student learning outcomes. However, in the conditions in schools today, student learning outcomes are still </w:t>
      </w:r>
      <w:proofErr w:type="spellStart"/>
      <w:r w:rsidRPr="00231C32">
        <w:rPr>
          <w:rFonts w:ascii="Bodoni MT" w:hAnsi="Bodoni MT"/>
          <w:spacing w:val="-2"/>
          <w:lang w:val="en-ID" w:eastAsia="zh-CN"/>
        </w:rPr>
        <w:t>meager</w:t>
      </w:r>
      <w:proofErr w:type="spellEnd"/>
      <w:r w:rsidRPr="00231C32">
        <w:rPr>
          <w:rFonts w:ascii="Bodoni MT" w:hAnsi="Bodoni MT"/>
          <w:spacing w:val="-2"/>
          <w:lang w:val="en-ID" w:eastAsia="zh-CN"/>
        </w:rPr>
        <w:t xml:space="preserve"> </w:t>
      </w:r>
      <w:r w:rsidRPr="00231C32">
        <w:rPr>
          <w:rFonts w:ascii="Bodoni MT" w:hAnsi="Bodoni MT"/>
          <w:spacing w:val="-2"/>
          <w:lang w:val="en-ID" w:eastAsia="zh-CN"/>
        </w:rPr>
        <w:fldChar w:fldCharType="begin" w:fldLock="1"/>
      </w:r>
      <w:r w:rsidRPr="00231C32">
        <w:rPr>
          <w:rFonts w:ascii="Bodoni MT" w:hAnsi="Bodoni MT"/>
          <w:spacing w:val="-2"/>
          <w:lang w:val="en-ID" w:eastAsia="zh-CN"/>
        </w:rPr>
        <w:instrText>ADDIN CSL_CITATION {"citationItems":[{"id":"ITEM-1","itemData":{"DOI":"10.12973/ejmste/76959","ISSN":"13058223","abstract":"© Authors. Some previous research has reported the effectiveness of RME in improving students' problem solving ability and cognitive achievement. This quasi experimental research, therefore, aimed to investigate the difference in students' mathematics cognitive achievement after implementing RME and conventional learning. The controlled treatment consisted of mathematics learning with RME equipped with snake and ladder board game and conventional learning. Instrument measuring students' cognitive achievement was developed by the researcher and validated by some experts prior to the research. The results of the t-test confirmed the difference in students' cognitive achievement both of the experimental and control group. The students who were taught with RME achieved better than the students who were involved in conventional learning. This research finding has suggested that it is important for teachers to empower students' intellectual ability through RME and games in order that meaningful and contextual learning can be generated. It is recommended that future research will explore the effect of RME on students' attitude, problem-solving ability, learning interest, or other variables related to mathematics learning.","author":[{"dropping-particle":"","family":"Laurens","given":"T.","non-dropping-particle":"","parse-names":false,"suffix":""},{"dropping-particle":"","family":"Batlolona","given":"F.A.","non-dropping-particle":"","parse-names":false,"suffix":""},{"dropping-particle":"","family":"Batlolona","given":"J.R.","non-dropping-particle":"","parse-names":false,"suffix":""},{"dropping-particle":"","family":"Leasa","given":"M.","non-dropping-particle":"","parse-names":false,"suffix":""}],"container-title":"Eurasia Journal of Mathematics, Science and Technology Education","id":"ITEM-1","issue":"2","issued":{"date-parts":[["2018"]]},"page":"569-578","title":"How does realistic mathematics education (RME) improve students' mathematics cognitive achievement?","type":"article-journal","volume":"14"},"uris":["http://www.mendeley.com/documents/?uuid=3cf131b9-2013-343d-9147-c233bfe03286"]}],"mendeley":{"formattedCitation":"(Laurens et al., 2018)","manualFormatting":"(Laurens et al., 2018","plainTextFormattedCitation":"(Laurens et al., 2018)","previouslyFormattedCitation":"(Laurens et al., 2018)"},"properties":{"noteIndex":0},"schema":"https://github.com/citation-style-language/schema/raw/master/csl-citation.json"}</w:instrText>
      </w:r>
      <w:r w:rsidRPr="00231C32">
        <w:rPr>
          <w:rFonts w:ascii="Bodoni MT" w:hAnsi="Bodoni MT"/>
          <w:spacing w:val="-2"/>
          <w:lang w:val="en-ID" w:eastAsia="zh-CN"/>
        </w:rPr>
        <w:fldChar w:fldCharType="separate"/>
      </w:r>
      <w:r w:rsidRPr="00231C32">
        <w:rPr>
          <w:rFonts w:ascii="Bodoni MT" w:hAnsi="Bodoni MT"/>
          <w:noProof/>
          <w:spacing w:val="-2"/>
          <w:lang w:val="en-ID" w:eastAsia="zh-CN"/>
        </w:rPr>
        <w:t>(Laurens et al., 2018</w:t>
      </w:r>
      <w:r w:rsidRPr="00231C32">
        <w:rPr>
          <w:rFonts w:ascii="Bodoni MT" w:hAnsi="Bodoni MT"/>
          <w:spacing w:val="-2"/>
          <w:lang w:val="en-ID" w:eastAsia="zh-CN"/>
        </w:rPr>
        <w:fldChar w:fldCharType="end"/>
      </w:r>
      <w:r w:rsidRPr="00231C32">
        <w:rPr>
          <w:rFonts w:ascii="Bodoni MT" w:hAnsi="Bodoni MT"/>
          <w:spacing w:val="-2"/>
          <w:lang w:val="en-ID" w:eastAsia="zh-CN"/>
        </w:rPr>
        <w:t xml:space="preserve">; </w:t>
      </w:r>
      <w:r w:rsidRPr="00231C32">
        <w:rPr>
          <w:rFonts w:ascii="Bodoni MT" w:hAnsi="Bodoni MT"/>
          <w:spacing w:val="-2"/>
          <w:lang w:val="en-ID" w:eastAsia="zh-CN"/>
        </w:rPr>
        <w:fldChar w:fldCharType="begin" w:fldLock="1"/>
      </w:r>
      <w:r w:rsidRPr="00231C32">
        <w:rPr>
          <w:rFonts w:ascii="Bodoni MT" w:hAnsi="Bodoni MT"/>
          <w:spacing w:val="-2"/>
          <w:lang w:val="en-ID" w:eastAsia="zh-CN"/>
        </w:rPr>
        <w:instrText>ADDIN CSL_CITATION {"citationItems":[{"id":"ITEM-1","itemData":{"DOI":"10.1186/s40561-021-00168-5","ISBN":"4056102100168","ISSN":"21967091","abstract":"In this mixed-methods research, the relationship between four factors of individual online learners and their mathematics self-concept was explored. In addition, the challenges the students faced in learning mathematics online during the Coronavirus disease (COVID-19) pandemic were determined. The participant students were from two mathematics classes offered online during the summer of 2020. Pure online classes were first offered during this period because face-to-face learning sessions were suspended due to the COVID-19 pandemic. It was found that students owned the devices they were using for online classes. Internet connection and power interruption were the most problematic aspects of online learning. Students had positive as well as negative mathematics online learning self-concepts. Individual factors were partly related to mathematics self-concept. Qualitative data shows that students faced technological, personal, domestic, assessment, pedagogical, consultation, and test anxiety challenges. Implications and recommendations for teaching mathematics in an online environment are offered.","author":[{"dropping-particle":"","family":"Bringula","given":"Rex","non-dropping-particle":"","parse-names":false,"suffix":""},{"dropping-particle":"","family":"Reguyal","given":"Jon Jester","non-dropping-particle":"","parse-names":false,"suffix":""},{"dropping-particle":"","family":"Tan","given":"Don Dominic","non-dropping-particle":"","parse-names":false,"suffix":""},{"dropping-particle":"","family":"Ulfa","given":"Saida","non-dropping-particle":"","parse-names":false,"suffix":""}],"container-title":"Smart Learning Environments","id":"ITEM-1","issue":"1","issued":{"date-parts":[["2021"]]},"page":"1-23","publisher":"Springer Singapore","title":"Mathematics self-concept and challenges of learners in an online learning environment during COVID-19 pandemic","type":"article-journal","volume":"8"},"uris":["http://www.mendeley.com/documents/?uuid=46a2a646-a61c-4cc9-917c-e686c1cb9567"]}],"mendeley":{"formattedCitation":"(Bringula et al., 2021)","manualFormatting":"Bringula et al., 2021)","plainTextFormattedCitation":"(Bringula et al., 2021)","previouslyFormattedCitation":"(Bringula et al., 2021)"},"properties":{"noteIndex":0},"schema":"https://github.com/citation-style-language/schema/raw/master/csl-citation.json"}</w:instrText>
      </w:r>
      <w:r w:rsidRPr="00231C32">
        <w:rPr>
          <w:rFonts w:ascii="Bodoni MT" w:hAnsi="Bodoni MT"/>
          <w:spacing w:val="-2"/>
          <w:lang w:val="en-ID" w:eastAsia="zh-CN"/>
        </w:rPr>
        <w:fldChar w:fldCharType="separate"/>
      </w:r>
      <w:r w:rsidRPr="00231C32">
        <w:rPr>
          <w:rFonts w:ascii="Bodoni MT" w:hAnsi="Bodoni MT"/>
          <w:noProof/>
          <w:spacing w:val="-2"/>
          <w:lang w:val="en-ID" w:eastAsia="zh-CN"/>
        </w:rPr>
        <w:t>Bringula et al., 2021)</w:t>
      </w:r>
      <w:r w:rsidRPr="00231C32">
        <w:rPr>
          <w:rFonts w:ascii="Bodoni MT" w:hAnsi="Bodoni MT"/>
          <w:spacing w:val="-2"/>
          <w:lang w:val="en-ID" w:eastAsia="zh-CN"/>
        </w:rPr>
        <w:fldChar w:fldCharType="end"/>
      </w:r>
      <w:r w:rsidRPr="00231C32">
        <w:rPr>
          <w:rFonts w:ascii="Bodoni MT" w:hAnsi="Bodoni MT"/>
          <w:spacing w:val="-2"/>
          <w:lang w:val="en-ID" w:eastAsia="zh-CN"/>
        </w:rPr>
        <w:t xml:space="preserve">. This is the case in Tanzania, where 70.1% of high school students failed math in the National exam. These results pave the way for further research that seeks to characterize and understand the diversity of factors that can influence student and teacher performance in mathematics. This will help to design good strategies for future improvement so as to increase the pass rate in mathematics learning </w:t>
      </w:r>
      <w:r w:rsidRPr="00231C32">
        <w:rPr>
          <w:rFonts w:ascii="Bodoni MT" w:hAnsi="Bodoni MT"/>
          <w:spacing w:val="-2"/>
          <w:lang w:val="en-ID" w:eastAsia="zh-CN"/>
        </w:rPr>
        <w:fldChar w:fldCharType="begin" w:fldLock="1"/>
      </w:r>
      <w:r w:rsidRPr="00231C32">
        <w:rPr>
          <w:rFonts w:ascii="Bodoni MT" w:hAnsi="Bodoni MT"/>
          <w:spacing w:val="-2"/>
          <w:lang w:val="en-ID" w:eastAsia="zh-CN"/>
        </w:rPr>
        <w:instrText>ADDIN CSL_CITATION {"citationItems":[{"id":"ITEM-1","itemData":{"DOI":"10.29333/iejme/3997","abstract":"Students’ learning of and performance in mathematics is affected by a number of factors, including students’ attitude towards the subject, teachers instructional practices, and school environment. This study was conducted to investigate students’ attitudes towards learning mathematics in Tanzania. It also sought to ascertain reasons for the liking or disliking mathematics and the relationship between attitude and performance. We employed the ABC Model and the Walberg’s Theory of Productivity to investigate students’ attitudes towards mathematics and associated factors. The quantitative and qualitative data were collected from 419 primary school students, 318 secondary school students, and 132 College students from 17 schools and 6 colleges in mainland Tanzania using a survey. The collected data were analysed using percentages, means, standard deviations, ANOVA, correlation, regression and thematic analysis. The results show that initially students exhibit a positive attitude towards mathematics, but their attitude becomes less positive as the students move forward to higher levels of education. A significant positive weak correlation between students’ attitude and performance was established. Mathematics’ enjoyment and attitude significantly predicted students’ performance in our data. The factors influencing the students’ liking or disliking of mathematics constituted student’s aptitude attribute, instructional and social psychological environmental factors. Furthermore, the results show that failure in examinations is attributed to teacher didactic strategies, institutional resources, poor learning and examination strategies, and failure to understand instructions. The results provide insights for future research and inciting changes in teaching- learning practices that would promote mathematics enjoyment and subsequent better performance in the subject.","author":[{"dropping-particle":"","family":"Mazana","given":"Mzomwe Yahya","non-dropping-particle":"","parse-names":false,"suffix":""},{"dropping-particle":"","family":"Montero","given":"Calkin Suero","non-dropping-particle":"","parse-names":false,"suffix":""},{"dropping-particle":"","family":"Casmir","given":"Respickius Olifage","non-dropping-particle":"","parse-names":false,"suffix":""}],"container-title":"International Electronic Journal of Mathematics Education","id":"ITEM-1","issue":"1","issued":{"date-parts":[["2018"]]},"page":"207-231","title":"Investigating Students’ Attitude towards Learning Mathematics","type":"article-journal","volume":"14"},"uris":["http://www.mendeley.com/documents/?uuid=f0a17d6c-bf8e-47d3-9dcf-b075d12e3984"]}],"mendeley":{"formattedCitation":"(Mazana et al., 2018)","plainTextFormattedCitation":"(Mazana et al., 2018)","previouslyFormattedCitation":"(Mazana et al., 2018)"},"properties":{"noteIndex":0},"schema":"https://github.com/citation-style-language/schema/raw/master/csl-citation.json"}</w:instrText>
      </w:r>
      <w:r w:rsidRPr="00231C32">
        <w:rPr>
          <w:rFonts w:ascii="Bodoni MT" w:hAnsi="Bodoni MT"/>
          <w:spacing w:val="-2"/>
          <w:lang w:val="en-ID" w:eastAsia="zh-CN"/>
        </w:rPr>
        <w:fldChar w:fldCharType="separate"/>
      </w:r>
      <w:r w:rsidRPr="00231C32">
        <w:rPr>
          <w:rFonts w:ascii="Bodoni MT" w:hAnsi="Bodoni MT"/>
          <w:noProof/>
          <w:spacing w:val="-2"/>
          <w:lang w:val="en-ID" w:eastAsia="zh-CN"/>
        </w:rPr>
        <w:t>(Mazana et al., 2018)</w:t>
      </w:r>
      <w:r w:rsidRPr="00231C32">
        <w:rPr>
          <w:rFonts w:ascii="Bodoni MT" w:hAnsi="Bodoni MT"/>
          <w:spacing w:val="-2"/>
          <w:lang w:val="en-ID" w:eastAsia="zh-CN"/>
        </w:rPr>
        <w:fldChar w:fldCharType="end"/>
      </w:r>
      <w:r w:rsidRPr="00231C32">
        <w:rPr>
          <w:rFonts w:ascii="Bodoni MT" w:hAnsi="Bodoni MT"/>
          <w:spacing w:val="-2"/>
          <w:lang w:val="en-ID" w:eastAsia="zh-CN"/>
        </w:rPr>
        <w:t xml:space="preserve">. It should be noted that students in each class have different abilities. Therefore, it will result in the achievement of different learning outcomes </w:t>
      </w:r>
      <w:r w:rsidRPr="00231C32">
        <w:rPr>
          <w:rFonts w:ascii="Bodoni MT" w:hAnsi="Bodoni MT"/>
          <w:spacing w:val="-2"/>
          <w:lang w:val="en-ID" w:eastAsia="zh-CN"/>
        </w:rPr>
        <w:fldChar w:fldCharType="begin" w:fldLock="1"/>
      </w:r>
      <w:r w:rsidRPr="00231C32">
        <w:rPr>
          <w:rFonts w:ascii="Bodoni MT" w:hAnsi="Bodoni MT"/>
          <w:spacing w:val="-2"/>
          <w:lang w:val="en-ID" w:eastAsia="zh-CN"/>
        </w:rPr>
        <w:instrText>ADDIN CSL_CITATION {"citationItems":[{"id":"ITEM-1","itemData":{"DOI":"10.3390/bs11070102","ISSN":"2076328X","abstract":"Personal values play a significant role when adopting learning approaches by individuals during their studies. Particularly in higher education, these values significantly influence the character that individuals play within their learning community and ultimately influence their academic achievements. The purpose of this paper is to investigate personal values in their choice of learning approaches and, subsequently, how it impacts one’s academic achievements. It also investigates the importance of developing an individual’s personal values as a part of their wider studies, while aligning these with graduate attributes and balancing them with knowledge and skills, to produce successful graduates in a society.","author":[{"dropping-particle":"","family":"Gamage","given":"Kelum A.A.","non-dropping-particle":"","parse-names":false,"suffix":""},{"dropping-particle":"","family":"Dehideniya","given":"D. M.S.C.P.K.","non-dropping-particle":"","parse-names":false,"suffix":""},{"dropping-particle":"","family":"Ekanayake","given":"Sakunthala Y.","non-dropping-particle":"","parse-names":false,"suffix":""}],"container-title":"Behavioral Sciences","id":"ITEM-1","issue":"7","issued":{"date-parts":[["2021"]]},"page":"1-23","title":"The role of personal values in learning approaches and student achievements","type":"article-journal","volume":"11"},"uris":["http://www.mendeley.com/documents/?uuid=98632552-054d-4e75-86d6-8ebaf785d24c"]}],"mendeley":{"formattedCitation":"(Gamage et al., 2021)","plainTextFormattedCitation":"(Gamage et al., 2021)","previouslyFormattedCitation":"(Gamage et al., 2021)"},"properties":{"noteIndex":0},"schema":"https://github.com/citation-style-language/schema/raw/master/csl-citation.json"}</w:instrText>
      </w:r>
      <w:r w:rsidRPr="00231C32">
        <w:rPr>
          <w:rFonts w:ascii="Bodoni MT" w:hAnsi="Bodoni MT"/>
          <w:spacing w:val="-2"/>
          <w:lang w:val="en-ID" w:eastAsia="zh-CN"/>
        </w:rPr>
        <w:fldChar w:fldCharType="separate"/>
      </w:r>
      <w:r w:rsidRPr="00231C32">
        <w:rPr>
          <w:rFonts w:ascii="Bodoni MT" w:hAnsi="Bodoni MT"/>
          <w:noProof/>
          <w:spacing w:val="-2"/>
          <w:lang w:val="en-ID" w:eastAsia="zh-CN"/>
        </w:rPr>
        <w:t>(Gamage et al., 2021)</w:t>
      </w:r>
      <w:r w:rsidRPr="00231C32">
        <w:rPr>
          <w:rFonts w:ascii="Bodoni MT" w:hAnsi="Bodoni MT"/>
          <w:spacing w:val="-2"/>
          <w:lang w:val="en-ID" w:eastAsia="zh-CN"/>
        </w:rPr>
        <w:fldChar w:fldCharType="end"/>
      </w:r>
      <w:r w:rsidRPr="00231C32">
        <w:rPr>
          <w:rFonts w:ascii="Bodoni MT" w:hAnsi="Bodoni MT"/>
          <w:spacing w:val="-2"/>
          <w:lang w:val="en-ID" w:eastAsia="zh-CN"/>
        </w:rPr>
        <w:t xml:space="preserve">. Unfortunately, in teacher-conducted learning, all students are required to learn in the same way and at the same pace </w:t>
      </w:r>
      <w:r w:rsidRPr="00231C32">
        <w:rPr>
          <w:rFonts w:ascii="Bodoni MT" w:hAnsi="Bodoni MT"/>
          <w:spacing w:val="-2"/>
          <w:lang w:val="en-ID" w:eastAsia="zh-CN"/>
        </w:rPr>
        <w:fldChar w:fldCharType="begin" w:fldLock="1"/>
      </w:r>
      <w:r w:rsidR="009A2AD0">
        <w:rPr>
          <w:rFonts w:ascii="Bodoni MT" w:hAnsi="Bodoni MT"/>
          <w:spacing w:val="-2"/>
          <w:lang w:val="en-ID" w:eastAsia="zh-CN"/>
        </w:rPr>
        <w:instrText>ADDIN CSL_CITATION {"citationItems":[{"id":"ITEM-1","itemData":{"DOI":"10.1007/s10984-023-09477-7","ISBN":"0123456789","ISSN":"15731855","abstract":"This study of first year high-school students in South Australia focussed on the effectiveness of using an innovative project-based mathematics strategy to improve the classroom learning environment and the student outcomes of enjoyment, academic efficacy and achievement. As well, we investigated the differential effectiveness of project-based mathematics for male and female students. A sample of 284 students from a co-educational private secondary school provided quantitative data about classroom learning environment as assessed with seven scales from the What Is Happening In this Class? (WIHIC), together with data about the three student outcomes assessed with one scale each. Our study also included a mixed-method design involving qualitative information collected through classroom observations and interviews with 20 students and 3 teachers to explain patterns emerging from the analysis of quantitative data.","author":[{"dropping-particle":"","family":"Rijken","given":"Paul E.","non-dropping-particle":"","parse-names":false,"suffix":""},{"dropping-particle":"","family":"Fraser","given":"Barry J.","non-dropping-particle":"","parse-names":false,"suffix":""}],"container-title":"Learning Environments Research","id":"ITEM-1","issued":{"date-parts":[["2023"]]},"page":"1-23","publisher":"Springer Netherlands","title":"Effectiveness of project-based mathematics in first-year high school in terms of learning environment and student outcomes","type":"article-journal"},"uris":["http://www.mendeley.com/documents/?uuid=4f2cf389-be41-497c-ad80-c073cee27801"]}],"mendeley":{"formattedCitation":"(Rijken &amp; Fraser, 2023)"},"properties":{"noteIndex":0},"schema":"https://github.com/citation-style-language/schema/raw/master/csl-citation.json"}</w:instrText>
      </w:r>
      <w:r w:rsidRPr="00231C32">
        <w:rPr>
          <w:rFonts w:ascii="Bodoni MT" w:hAnsi="Bodoni MT"/>
          <w:spacing w:val="-2"/>
          <w:lang w:val="en-ID" w:eastAsia="zh-CN"/>
        </w:rPr>
        <w:fldChar w:fldCharType="separate"/>
      </w:r>
      <w:r w:rsidR="009A2AD0" w:rsidRPr="009A2AD0">
        <w:rPr>
          <w:rFonts w:ascii="Bodoni MT" w:hAnsi="Bodoni MT"/>
          <w:noProof/>
          <w:spacing w:val="-2"/>
          <w:lang w:val="en-ID" w:eastAsia="zh-CN"/>
        </w:rPr>
        <w:t>(Rijken &amp; Fraser, 2023)</w:t>
      </w:r>
      <w:r w:rsidRPr="00231C32">
        <w:rPr>
          <w:rFonts w:ascii="Bodoni MT" w:hAnsi="Bodoni MT"/>
          <w:spacing w:val="-2"/>
          <w:lang w:val="en-ID" w:eastAsia="zh-CN"/>
        </w:rPr>
        <w:fldChar w:fldCharType="end"/>
      </w:r>
      <w:r w:rsidRPr="00231C32">
        <w:rPr>
          <w:rFonts w:ascii="Bodoni MT" w:hAnsi="Bodoni MT"/>
          <w:spacing w:val="-2"/>
          <w:lang w:val="en-ID" w:eastAsia="zh-CN"/>
        </w:rPr>
        <w:t xml:space="preserve"> Low-achieving students, without sufficient time, will have difficulty being forced to receive knowledge passively </w:t>
      </w:r>
      <w:r w:rsidRPr="00231C32">
        <w:rPr>
          <w:rFonts w:ascii="Bodoni MT" w:hAnsi="Bodoni MT"/>
          <w:spacing w:val="-2"/>
          <w:lang w:val="en-ID" w:eastAsia="zh-CN"/>
        </w:rPr>
        <w:fldChar w:fldCharType="begin" w:fldLock="1"/>
      </w:r>
      <w:r w:rsidRPr="00231C32">
        <w:rPr>
          <w:rFonts w:ascii="Bodoni MT" w:hAnsi="Bodoni MT"/>
          <w:spacing w:val="-2"/>
          <w:lang w:val="en-ID" w:eastAsia="zh-CN"/>
        </w:rPr>
        <w:instrText>ADDIN CSL_CITATION {"citationItems":[{"id":"ITEM-1","itemData":{"DOI":"10.1186/s41039-019-0100-9","ISSN":"17937078","abstract":"Conventional teacher-led instruction remains dominant in most elementary mathematics classrooms in Taiwan. Under such instruction, the teacher can rarely take care of all students. Many students may then continue to fall behind the standard of mathematics achievement and lose their interest in mathematics; they eventually give up on learning mathematics. In fact, students in Taiwan generally have lower interest in learning mathematics compared to many other regions/countries. Thus, how to enhance students’ mathematics achievement and interest are two major problems, especially for those low-achieving students. This paper describes how we designed a game-based learning environment, called Math-Island, by incorporating the mechanisms of a construction management game into the knowledge map of the elementary mathematics curriculum. We also report an experiment conducted with 215 elementary students for 2 years, from grade 2 to grade 3. In this experiment, in addition to teacher-led instruction in the classroom, students were directed to learn with Math-Island by using their own tablets at school and at home. As a result of this experiment, we found that there is an increase in students’ mathematics achievement, especially in the calculation and word problems. Moreover, the achievements of low-achieving students in the experimental school outperformed the low-achieving students in the control school (a control group in another school) in word problems. Moreover, both the low-achieving students and the high-achieving students in the experimental school maintained a rather high level of interest in mathematics and in the system.","author":[{"dropping-particle":"","family":"Yeh","given":"Charles Y.C.","non-dropping-particle":"","parse-names":false,"suffix":""},{"dropping-particle":"","family":"Cheng","given":"Hercy N.H.","non-dropping-particle":"","parse-names":false,"suffix":""},{"dropping-particle":"","family":"Chen","given":"Zhi Hong","non-dropping-particle":"","parse-names":false,"suffix":""},{"dropping-particle":"","family":"Liao","given":"Calvin C.Y.","non-dropping-particle":"","parse-names":false,"suffix":""},{"dropping-particle":"","family":"Chan","given":"Tak Wai","non-dropping-particle":"","parse-names":false,"suffix":""}],"container-title":"Research and Practice in Technology Enhanced Learning","id":"ITEM-1","issue":"1","issued":{"date-parts":[["2019"]]},"page":"1-19","publisher":"Research and Practice in Technology Enhanced Learning","title":"Enhancing achievement and interest in mathematics learning through Math-Island","type":"article-journal","volume":"14"},"uris":["http://www.mendeley.com/documents/?uuid=e3b83afa-190e-4b6a-8f34-c215c0a43b29"]}],"mendeley":{"formattedCitation":"(Yeh et al., 2019)","plainTextFormattedCitation":"(Yeh et al., 2019)","previouslyFormattedCitation":"(Yeh et al., 2019)"},"properties":{"noteIndex":0},"schema":"https://github.com/citation-style-language/schema/raw/master/csl-citation.json"}</w:instrText>
      </w:r>
      <w:r w:rsidRPr="00231C32">
        <w:rPr>
          <w:rFonts w:ascii="Bodoni MT" w:hAnsi="Bodoni MT"/>
          <w:spacing w:val="-2"/>
          <w:lang w:val="en-ID" w:eastAsia="zh-CN"/>
        </w:rPr>
        <w:fldChar w:fldCharType="separate"/>
      </w:r>
      <w:r w:rsidRPr="00231C32">
        <w:rPr>
          <w:rFonts w:ascii="Bodoni MT" w:hAnsi="Bodoni MT"/>
          <w:noProof/>
          <w:spacing w:val="-2"/>
          <w:lang w:val="en-ID" w:eastAsia="zh-CN"/>
        </w:rPr>
        <w:t>(Yeh et al., 2019)</w:t>
      </w:r>
      <w:r w:rsidRPr="00231C32">
        <w:rPr>
          <w:rFonts w:ascii="Bodoni MT" w:hAnsi="Bodoni MT"/>
          <w:spacing w:val="-2"/>
          <w:lang w:val="en-ID" w:eastAsia="zh-CN"/>
        </w:rPr>
        <w:fldChar w:fldCharType="end"/>
      </w:r>
      <w:r w:rsidRPr="00231C32">
        <w:rPr>
          <w:rFonts w:ascii="Bodoni MT" w:hAnsi="Bodoni MT"/>
          <w:spacing w:val="-2"/>
          <w:lang w:val="en-ID" w:eastAsia="zh-CN"/>
        </w:rPr>
        <w:t>. Study results show that Teachers in China tend to adopt a more teacher-</w:t>
      </w:r>
      <w:proofErr w:type="spellStart"/>
      <w:r w:rsidRPr="00231C32">
        <w:rPr>
          <w:rFonts w:ascii="Bodoni MT" w:hAnsi="Bodoni MT"/>
          <w:spacing w:val="-2"/>
          <w:lang w:val="en-ID" w:eastAsia="zh-CN"/>
        </w:rPr>
        <w:t>centered</w:t>
      </w:r>
      <w:proofErr w:type="spellEnd"/>
      <w:r w:rsidRPr="00231C32">
        <w:rPr>
          <w:rFonts w:ascii="Bodoni MT" w:hAnsi="Bodoni MT"/>
          <w:spacing w:val="-2"/>
          <w:lang w:val="en-ID" w:eastAsia="zh-CN"/>
        </w:rPr>
        <w:t xml:space="preserve"> way to ensure complete and practical teaching </w:t>
      </w:r>
      <w:r w:rsidRPr="00231C32">
        <w:rPr>
          <w:rFonts w:ascii="Bodoni MT" w:hAnsi="Bodoni MT"/>
          <w:spacing w:val="-2"/>
          <w:lang w:val="en-ID" w:eastAsia="zh-CN"/>
        </w:rPr>
        <w:fldChar w:fldCharType="begin" w:fldLock="1"/>
      </w:r>
      <w:r w:rsidRPr="00231C32">
        <w:rPr>
          <w:rFonts w:ascii="Bodoni MT" w:hAnsi="Bodoni MT"/>
          <w:spacing w:val="-2"/>
          <w:lang w:val="en-ID" w:eastAsia="zh-CN"/>
        </w:rPr>
        <w:instrText>ADDIN CSL_CITATION {"citationItems":[{"id":"ITEM-1","itemData":{"DOI":"10.3390/ijerph17134742","ISSN":"16604601","PMID":"32630336","abstract":"This study aimed to investigate secondary students’ mathematics achievement emotions and their mediating effects on the relationships between classroom environmental characteristics, namely, teacher–student interactional styles (i.e., teacher leadership and student freedom styles), and students’ mathematics learning outcomes in mainland China. A sample of 1423 Grade 7 to 9 junior secondary students responded to a questionnaire that comprised three sets of scales for assessing students’ perceived teacher–student interactional styles, mathematics achievement emotions, and cognitive and affective learning outcomes. The results indicated that students’ mathematics learning outcomes were positively associated with both teacher leadership and student freedom styles. Moreover, students’ mathematics achievement emotions mediated the relationships between these two interactional styles and their mathematics learning outcomes. These results highlight the importance of mathematics achievement emotions in student learning, and provide implications for the improvement of mathematics classroom environments.","author":[{"dropping-particle":"","family":"Lin","given":"Wei","non-dropping-particle":"","parse-names":false,"suffix":""},{"dropping-particle":"","family":"Yin","given":"Hongbiao","non-dropping-particle":"","parse-names":false,"suffix":""},{"dropping-particle":"","family":"Han","given":"Jiwei","non-dropping-particle":"","parse-names":false,"suffix":""},{"dropping-particle":"","family":"Han","given":"Jiying","non-dropping-particle":"","parse-names":false,"suffix":""}],"container-title":"International Journal of Environmental Research and Public Health","id":"ITEM-1","issue":"13","issued":{"date-parts":[["2020"]]},"page":"1-17","title":"Teacher–student interaction and chinese students’ mathematics learning outcomes: The mediation of mathematics achievement emotions","type":"article-journal","volume":"17"},"uris":["http://www.mendeley.com/documents/?uuid=6f5a4848-ffe2-472f-86f3-b7249bb2b323"]}],"mendeley":{"formattedCitation":"(Lin et al., 2020)","plainTextFormattedCitation":"(Lin et al., 2020)","previouslyFormattedCitation":"(Lin et al., 2020)"},"properties":{"noteIndex":0},"schema":"https://github.com/citation-style-language/schema/raw/master/csl-citation.json"}</w:instrText>
      </w:r>
      <w:r w:rsidRPr="00231C32">
        <w:rPr>
          <w:rFonts w:ascii="Bodoni MT" w:hAnsi="Bodoni MT"/>
          <w:spacing w:val="-2"/>
          <w:lang w:val="en-ID" w:eastAsia="zh-CN"/>
        </w:rPr>
        <w:fldChar w:fldCharType="separate"/>
      </w:r>
      <w:r w:rsidRPr="00231C32">
        <w:rPr>
          <w:rFonts w:ascii="Bodoni MT" w:hAnsi="Bodoni MT"/>
          <w:noProof/>
          <w:spacing w:val="-2"/>
          <w:lang w:val="en-ID" w:eastAsia="zh-CN"/>
        </w:rPr>
        <w:t>(Lin et al., 2020)</w:t>
      </w:r>
      <w:r w:rsidRPr="00231C32">
        <w:rPr>
          <w:rFonts w:ascii="Bodoni MT" w:hAnsi="Bodoni MT"/>
          <w:spacing w:val="-2"/>
          <w:lang w:val="en-ID" w:eastAsia="zh-CN"/>
        </w:rPr>
        <w:fldChar w:fldCharType="end"/>
      </w:r>
      <w:r w:rsidRPr="00231C32">
        <w:rPr>
          <w:rFonts w:ascii="Bodoni MT" w:hAnsi="Bodoni MT"/>
          <w:spacing w:val="-2"/>
          <w:lang w:val="en-ID" w:eastAsia="zh-CN"/>
        </w:rPr>
        <w:t xml:space="preserve">. Learning outcomes are something that is obtained after the learning process. Learning outcomes are changes that occur in students concerning cognitive, affective, and psychomotor aspects </w:t>
      </w:r>
      <w:r w:rsidRPr="00231C32">
        <w:rPr>
          <w:rFonts w:ascii="Bodoni MT" w:hAnsi="Bodoni MT"/>
          <w:spacing w:val="-2"/>
          <w:lang w:val="en-ID" w:eastAsia="zh-CN"/>
        </w:rPr>
        <w:fldChar w:fldCharType="begin" w:fldLock="1"/>
      </w:r>
      <w:r w:rsidRPr="00231C32">
        <w:rPr>
          <w:rFonts w:ascii="Bodoni MT" w:hAnsi="Bodoni MT"/>
          <w:spacing w:val="-2"/>
          <w:lang w:val="en-ID" w:eastAsia="zh-CN"/>
        </w:rPr>
        <w:instrText>ADDIN CSL_CITATION {"citationItems":[{"id":"ITEM-1","itemData":{"DOI":"10.1177/2347631119886418","author":[{"dropping-particle":"","family":"Rao","given":"N J","non-dropping-particle":"","parse-names":false,"suffix":""}],"container-title":"Higher Education for the Future","id":"ITEM-1","issue":"1","issued":{"date-parts":[["2020"]]},"page":"5-21","title":"Outcome-based Education : An Outline","type":"article-journal","volume":"7"},"uris":["http://www.mendeley.com/documents/?uuid=d577bb42-ad58-45a2-8139-a27b2cb7b790"]}],"mendeley":{"formattedCitation":"(Rao, 2020)","plainTextFormattedCitation":"(Rao, 2020)","previouslyFormattedCitation":"(Rao, 2020)"},"properties":{"noteIndex":0},"schema":"https://github.com/citation-style-language/schema/raw/master/csl-citation.json"}</w:instrText>
      </w:r>
      <w:r w:rsidRPr="00231C32">
        <w:rPr>
          <w:rFonts w:ascii="Bodoni MT" w:hAnsi="Bodoni MT"/>
          <w:spacing w:val="-2"/>
          <w:lang w:val="en-ID" w:eastAsia="zh-CN"/>
        </w:rPr>
        <w:fldChar w:fldCharType="separate"/>
      </w:r>
      <w:r w:rsidRPr="00231C32">
        <w:rPr>
          <w:rFonts w:ascii="Bodoni MT" w:hAnsi="Bodoni MT"/>
          <w:noProof/>
          <w:spacing w:val="-2"/>
          <w:lang w:val="en-ID" w:eastAsia="zh-CN"/>
        </w:rPr>
        <w:t>(Rao, 2020)</w:t>
      </w:r>
      <w:r w:rsidRPr="00231C32">
        <w:rPr>
          <w:rFonts w:ascii="Bodoni MT" w:hAnsi="Bodoni MT"/>
          <w:spacing w:val="-2"/>
          <w:lang w:val="en-ID" w:eastAsia="zh-CN"/>
        </w:rPr>
        <w:fldChar w:fldCharType="end"/>
      </w:r>
      <w:r w:rsidRPr="00231C32">
        <w:rPr>
          <w:rFonts w:ascii="Bodoni MT" w:hAnsi="Bodoni MT"/>
          <w:spacing w:val="-2"/>
          <w:lang w:val="en-ID" w:eastAsia="zh-CN"/>
        </w:rPr>
        <w:t xml:space="preserve">. </w:t>
      </w:r>
    </w:p>
    <w:p w14:paraId="3869A1AB" w14:textId="77777777" w:rsidR="00231C32" w:rsidRDefault="00231C32" w:rsidP="00231C32">
      <w:pPr>
        <w:pBdr>
          <w:top w:val="nil"/>
          <w:left w:val="nil"/>
          <w:bottom w:val="nil"/>
          <w:right w:val="nil"/>
          <w:between w:val="nil"/>
        </w:pBdr>
        <w:spacing w:after="0" w:line="276" w:lineRule="auto"/>
        <w:ind w:firstLine="567"/>
        <w:jc w:val="both"/>
        <w:rPr>
          <w:rFonts w:ascii="Bodoni MT" w:hAnsi="Bodoni MT"/>
          <w:spacing w:val="-2"/>
          <w:lang w:val="en-ID" w:eastAsia="zh-CN"/>
        </w:rPr>
      </w:pPr>
      <w:r w:rsidRPr="00231C32">
        <w:rPr>
          <w:rFonts w:ascii="Bodoni MT" w:hAnsi="Bodoni MT"/>
          <w:spacing w:val="-2"/>
          <w:lang w:val="en-ID" w:eastAsia="zh-CN"/>
        </w:rPr>
        <w:t xml:space="preserve">Learning outcomes are often considered the determinant of an education. The fact is that students constantly score poorly in math, even though the subject is relatively vital to life today </w:t>
      </w:r>
      <w:r w:rsidRPr="00231C32">
        <w:rPr>
          <w:rFonts w:ascii="Bodoni MT" w:hAnsi="Bodoni MT"/>
          <w:spacing w:val="-2"/>
          <w:lang w:val="en-ID" w:eastAsia="zh-CN"/>
        </w:rPr>
        <w:fldChar w:fldCharType="begin" w:fldLock="1"/>
      </w:r>
      <w:r w:rsidRPr="00231C32">
        <w:rPr>
          <w:rFonts w:ascii="Bodoni MT" w:hAnsi="Bodoni MT"/>
          <w:spacing w:val="-2"/>
          <w:lang w:val="en-ID" w:eastAsia="zh-CN"/>
        </w:rPr>
        <w:instrText>ADDIN CSL_CITATION {"citationItems":[{"id":"ITEM-1","itemData":{"abstract":"The Study examined the effects of Polya, Bransford-Stein models and Lecture method on retention ability in trigonometry among senior secondary school students in Kano State. The study adopted quasi-experimental design. A sample of 190 SS2 Students were selected from six Public-Schools. Out of the six drawn schools, three of the schools were randomly selected from the Males' Schools through balloting while the other three Schools were selected from Females' Schools using a similar procedure. The target population for the study were all the SSII Mathematics Students in Kano State. Three groups were involved for the study namely: Experimental group one, Experimental group two and Control group respectively. There were 65 Students in group one (Polya's group, 30 Males and 35 Females), 60 Students in group two (Bransford-Stein's group, 30 Males and 30 Females) and the Control group consisted of 65 Students (35 Males and 30 Females). One research question and one null hypothesis was formulated and tested at P ≤ 0.05 level of significance. Trigonometry Performance Test (TPT) was the instrument used with r = 0.86 reliability index. Data collected were analysed using mean, standard deviation and Analysis of Covariance (ANCOVA). The results of the analysis reveal that there was a significant difference in the retention ability of students in trigonometry when taught using Polya, Bransford-Stein models and lecture method. Based on these findings, a number of recommendations are made among which is the extensive /result oriented training programs, seminars and workshops on Polya and Bransford-Stein models in teaching trigonometry. The major findings of the Study showed that teaching trigonometry contents of the secondary school mathematics curriculum using problem-solving models of Polya and Bransford and Stein enhanced students' retention ability. Based on the findings from the study, it was recommended that senior secondary schools mathematics Teachers should be encouraged to use Polya and Bransford and Stein models to teach trigonometry.","author":[{"dropping-particle":"","family":"Maruta","given":"S I","non-dropping-particle":"","parse-names":false,"suffix":""}],"container-title":"Kano Journal of Educational Psychology (KaJEP)","id":"ITEM-1","issue":"1","issued":{"date-parts":[["2021"]]},"page":"2021","title":"Effects of Polya and Bransford-Stein Models on Retention in Trigonometry among Senior Secondary School Students in Kano State, Nigeria","type":"article-journal","volume":"3"},"uris":["http://www.mendeley.com/documents/?uuid=cdc25913-4dbc-406a-b55c-a3e2beae8301"]}],"mendeley":{"formattedCitation":"(Maruta, 2021)","plainTextFormattedCitation":"(Maruta, 2021)","previouslyFormattedCitation":"(Maruta, 2021)"},"properties":{"noteIndex":0},"schema":"https://github.com/citation-style-language/schema/raw/master/csl-citation.json"}</w:instrText>
      </w:r>
      <w:r w:rsidRPr="00231C32">
        <w:rPr>
          <w:rFonts w:ascii="Bodoni MT" w:hAnsi="Bodoni MT"/>
          <w:spacing w:val="-2"/>
          <w:lang w:val="en-ID" w:eastAsia="zh-CN"/>
        </w:rPr>
        <w:fldChar w:fldCharType="separate"/>
      </w:r>
      <w:r w:rsidRPr="00231C32">
        <w:rPr>
          <w:rFonts w:ascii="Bodoni MT" w:hAnsi="Bodoni MT"/>
          <w:noProof/>
          <w:spacing w:val="-2"/>
          <w:lang w:val="en-ID" w:eastAsia="zh-CN"/>
        </w:rPr>
        <w:t>(Maruta, 2021)</w:t>
      </w:r>
      <w:r w:rsidRPr="00231C32">
        <w:rPr>
          <w:rFonts w:ascii="Bodoni MT" w:hAnsi="Bodoni MT"/>
          <w:spacing w:val="-2"/>
          <w:lang w:val="en-ID" w:eastAsia="zh-CN"/>
        </w:rPr>
        <w:fldChar w:fldCharType="end"/>
      </w:r>
      <w:r w:rsidRPr="00231C32">
        <w:rPr>
          <w:rFonts w:ascii="Bodoni MT" w:hAnsi="Bodoni MT"/>
          <w:spacing w:val="-2"/>
          <w:lang w:val="en-ID" w:eastAsia="zh-CN"/>
        </w:rPr>
        <w:t xml:space="preserve">. Over the years, mathematics researchers have identified factors leading to poor student performance in mathematics. Some of these include weak student grounding in mathematics, overcrowded mathematics classrooms and math resource fatigue, anxiety towards mathematics, poor teaching strategies, lack of resources for teaching and learning mathematics, </w:t>
      </w:r>
      <w:proofErr w:type="spellStart"/>
      <w:r w:rsidRPr="00231C32">
        <w:rPr>
          <w:rFonts w:ascii="Bodoni MT" w:hAnsi="Bodoni MT"/>
          <w:spacing w:val="-2"/>
          <w:lang w:val="en-ID" w:eastAsia="zh-CN"/>
        </w:rPr>
        <w:t>unfavorable</w:t>
      </w:r>
      <w:proofErr w:type="spellEnd"/>
      <w:r w:rsidRPr="00231C32">
        <w:rPr>
          <w:rFonts w:ascii="Bodoni MT" w:hAnsi="Bodoni MT"/>
          <w:spacing w:val="-2"/>
          <w:lang w:val="en-ID" w:eastAsia="zh-CN"/>
        </w:rPr>
        <w:t xml:space="preserve"> student and teacher attitudes towards mathematics, student laziness, and lack of student retention and interest in mathematics. </w:t>
      </w:r>
      <w:r w:rsidRPr="00231C32">
        <w:rPr>
          <w:rFonts w:ascii="Bodoni MT" w:hAnsi="Bodoni MT"/>
          <w:spacing w:val="-2"/>
          <w:lang w:val="en-ID" w:eastAsia="zh-CN"/>
        </w:rPr>
        <w:fldChar w:fldCharType="begin" w:fldLock="1"/>
      </w:r>
      <w:r w:rsidRPr="00231C32">
        <w:rPr>
          <w:rFonts w:ascii="Bodoni MT" w:hAnsi="Bodoni MT"/>
          <w:spacing w:val="-2"/>
          <w:lang w:val="en-ID" w:eastAsia="zh-CN"/>
        </w:rPr>
        <w:instrText>ADDIN CSL_CITATION {"citationItems":[{"id":"ITEM-1","itemData":{"DOI":"10.1007/s10639-023-12145-1","ISBN":"1063902312","ISSN":"15737608","abstract":"This study aimed at determining the effect of flipped classroom approach on mathematics achievement and interest of students. Given this, a quasi-experimental design was used, specifically non-equivalent pretest-posttest control group design. The study’s population comprised six hundred and seventy-three seniors in class one (SS 1) from Igbo-Etiti Local Government Area in Enugu State. The study’s participants were a sample of 86 learners selected from two schools purposively. Each school had two SS 1 classes, divided into experimental and control groups via balloting. Data were gathered through the instrumentality of the Mathematics Achievement Test (MAT) and Mathematics Interest Inventory (MII), which have reliability scores of 0.88 and 0.79, respectively. Prior to and following a six-week course of treatment, each group completed a pretest and posttest. SPSS, a statistical tool for social sciences, was applied to analyse the acquired data. The mean and standard deviation were utilised to report the study’s questions, and analysis of covariance (ANCOVA) was utilised to evaluate the hypotheses at a 0.05 significance level. Results established that learners taught mathematics utilising flipped classroom approach had higher mathematics achievement and interest scores than their peers taught using the conventional approach. Results also revealed that the achievement and interest scores of male and female learners who received mathematics instruction using flipped classroom approach were the same. Considering the findings, recommendations were given, among others, that mathematics teachers should use the flipped classroom approach to assist learners in boosting their achievement and interest in mathematics, especially in geometry.","author":[{"dropping-particle":"","family":"Egara","given":"Felix Oromena","non-dropping-particle":"","parse-names":false,"suffix":""},{"dropping-particle":"","family":"Mosimege","given":"Mogege","non-dropping-particle":"","parse-names":false,"suffix":""}],"container-title":"Education and Information Technologies","id":"ITEM-1","issued":{"date-parts":[["2023"]]},"page":"1-20","title":"Effect of flipped classroom learning approach on mathematics achievement and interest among secondary school students","type":"article-journal"},"uris":["http://www.mendeley.com/documents/?uuid=481fc82a-4dd0-42aa-a23e-f6a68f5d22d4"]}],"mendeley":{"formattedCitation":"(Egara &amp; Mosimege, 2023)","plainTextFormattedCitation":"(Egara &amp; Mosimege, 2023)","previouslyFormattedCitation":"(Egara &amp; Mosimege, 2023)"},"properties":{"noteIndex":0},"schema":"https://github.com/citation-style-language/schema/raw/master/csl-citation.json"}</w:instrText>
      </w:r>
      <w:r w:rsidRPr="00231C32">
        <w:rPr>
          <w:rFonts w:ascii="Bodoni MT" w:hAnsi="Bodoni MT"/>
          <w:spacing w:val="-2"/>
          <w:lang w:val="en-ID" w:eastAsia="zh-CN"/>
        </w:rPr>
        <w:fldChar w:fldCharType="separate"/>
      </w:r>
      <w:proofErr w:type="gramStart"/>
      <w:r w:rsidRPr="00231C32">
        <w:rPr>
          <w:rFonts w:ascii="Bodoni MT" w:hAnsi="Bodoni MT"/>
          <w:noProof/>
          <w:spacing w:val="-2"/>
          <w:lang w:val="en-ID" w:eastAsia="zh-CN"/>
        </w:rPr>
        <w:t>(Egara &amp; Mosimege, 2023)</w:t>
      </w:r>
      <w:r w:rsidRPr="00231C32">
        <w:rPr>
          <w:rFonts w:ascii="Bodoni MT" w:hAnsi="Bodoni MT"/>
          <w:spacing w:val="-2"/>
          <w:lang w:val="en-ID" w:eastAsia="zh-CN"/>
        </w:rPr>
        <w:fldChar w:fldCharType="end"/>
      </w:r>
      <w:r w:rsidRPr="00231C32">
        <w:rPr>
          <w:rFonts w:ascii="Bodoni MT" w:hAnsi="Bodoni MT"/>
          <w:spacing w:val="-2"/>
          <w:lang w:val="en-ID" w:eastAsia="zh-CN"/>
        </w:rPr>
        <w:t>.</w:t>
      </w:r>
      <w:proofErr w:type="gramEnd"/>
      <w:r w:rsidRPr="00231C32">
        <w:rPr>
          <w:rFonts w:ascii="Bodoni MT" w:hAnsi="Bodoni MT"/>
          <w:spacing w:val="-2"/>
          <w:lang w:val="en-ID" w:eastAsia="zh-CN"/>
        </w:rPr>
        <w:t xml:space="preserve"> Several factors affect learning outcomes themselves, including learning styles. </w:t>
      </w:r>
    </w:p>
    <w:p w14:paraId="306E159C" w14:textId="0689F390" w:rsidR="00231C32" w:rsidRPr="00231C32" w:rsidRDefault="00231C32" w:rsidP="00231C32">
      <w:pPr>
        <w:pBdr>
          <w:top w:val="nil"/>
          <w:left w:val="nil"/>
          <w:bottom w:val="nil"/>
          <w:right w:val="nil"/>
          <w:between w:val="nil"/>
        </w:pBdr>
        <w:spacing w:after="0" w:line="276" w:lineRule="auto"/>
        <w:ind w:firstLine="567"/>
        <w:jc w:val="both"/>
        <w:rPr>
          <w:rFonts w:ascii="Bodoni" w:eastAsia="Bodoni" w:hAnsi="Bodoni" w:cs="Bodoni"/>
          <w:color w:val="FF0000"/>
          <w:lang w:val="en-US"/>
        </w:rPr>
      </w:pPr>
      <w:r w:rsidRPr="00231C32">
        <w:rPr>
          <w:rFonts w:ascii="Bodoni MT" w:hAnsi="Bodoni MT"/>
          <w:spacing w:val="-2"/>
          <w:lang w:val="en-ID" w:eastAsia="zh-CN"/>
        </w:rPr>
        <w:t xml:space="preserve">A learning style is the way a person tends to receive information from the environment and process that information. Three common learning styles are often used and have been divided into three subtypes of learning styles: visual, audio, and </w:t>
      </w:r>
      <w:proofErr w:type="spellStart"/>
      <w:r w:rsidRPr="00231C32">
        <w:rPr>
          <w:rFonts w:ascii="Bodoni MT" w:hAnsi="Bodoni MT"/>
          <w:spacing w:val="-2"/>
          <w:lang w:val="en-ID" w:eastAsia="zh-CN"/>
        </w:rPr>
        <w:t>kinesthetic</w:t>
      </w:r>
      <w:proofErr w:type="spellEnd"/>
      <w:r w:rsidRPr="00231C32">
        <w:rPr>
          <w:rFonts w:ascii="Bodoni MT" w:hAnsi="Bodoni MT"/>
          <w:spacing w:val="-2"/>
          <w:lang w:val="en-ID" w:eastAsia="zh-CN"/>
        </w:rPr>
        <w:t xml:space="preserve"> </w:t>
      </w:r>
      <w:r w:rsidRPr="00231C32">
        <w:rPr>
          <w:rFonts w:ascii="Bodoni MT" w:hAnsi="Bodoni MT"/>
          <w:spacing w:val="-2"/>
          <w:lang w:val="en-ID" w:eastAsia="zh-CN"/>
        </w:rPr>
        <w:fldChar w:fldCharType="begin" w:fldLock="1"/>
      </w:r>
      <w:r w:rsidRPr="00231C32">
        <w:rPr>
          <w:rFonts w:ascii="Bodoni MT" w:hAnsi="Bodoni MT"/>
          <w:spacing w:val="-2"/>
          <w:lang w:val="en-ID" w:eastAsia="zh-CN"/>
        </w:rPr>
        <w:instrText>ADDIN CSL_CITATION {"citationItems":[{"id":"ITEM-1","itemData":{"DOI":"10.1016/j.heliyon.2021.e06242","ISSN":"24058440","abstract":"This article presents the findings in the process of evaluating the relationship between perception channels and cognitive styles, from the analysis of conceptions over time and their involvement. Establishing through an experiment, and applying two didactic strategies, the associations with learning. Channels are characterized with VAK, Styles with CHAEA, and Performance with a pre-test/post-test design. It was shown that channels and styles are allies that independently encourage the teaching-learning process. Outcome shows that people with multiple channels and styles develop more skills, achieving better results. Games as ludic activities stimulate all channels, and favor the construction of knowledge, thus improving performance with positive differences in p-values between 0.014 and 0.022.","author":[{"dropping-particle":"","family":"Gamboa Mora","given":"María Cristina","non-dropping-particle":"","parse-names":false,"suffix":""},{"dropping-particle":"","family":"Vera-Monroy","given":"Sulma Paola","non-dropping-particle":"","parse-names":false,"suffix":""},{"dropping-particle":"","family":"Mejía-Camacho","given":"Alexander","non-dropping-particle":"","parse-names":false,"suffix":""},{"dropping-particle":"","family":"Guerrero Rueda","given":"William Javier","non-dropping-particle":"","parse-names":false,"suffix":""}],"container-title":"Heliyon","id":"ITEM-1","issue":"2","issued":{"date-parts":[["2021"]]},"page":"1-8","title":"Perception channels and cognitive styles: opponents, followers or learning allies?","type":"article-journal","volume":"7"},"uris":["http://www.mendeley.com/documents/?uuid=12afa7ea-7e70-40b1-bd10-324ed7f6c143"]}],"mendeley":{"formattedCitation":"(Gamboa Mora et al., 2021)","plainTextFormattedCitation":"(Gamboa Mora et al., 2021)","previouslyFormattedCitation":"(Gamboa Mora et al., 2021)"},"properties":{"noteIndex":0},"schema":"https://github.com/citation-style-language/schema/raw/master/csl-citation.json"}</w:instrText>
      </w:r>
      <w:r w:rsidRPr="00231C32">
        <w:rPr>
          <w:rFonts w:ascii="Bodoni MT" w:hAnsi="Bodoni MT"/>
          <w:spacing w:val="-2"/>
          <w:lang w:val="en-ID" w:eastAsia="zh-CN"/>
        </w:rPr>
        <w:fldChar w:fldCharType="separate"/>
      </w:r>
      <w:r w:rsidRPr="00231C32">
        <w:rPr>
          <w:rFonts w:ascii="Bodoni MT" w:hAnsi="Bodoni MT"/>
          <w:noProof/>
          <w:spacing w:val="-2"/>
          <w:lang w:val="en-ID" w:eastAsia="zh-CN"/>
        </w:rPr>
        <w:t>(Gamboa Mora et al., 2021)</w:t>
      </w:r>
      <w:r w:rsidRPr="00231C32">
        <w:rPr>
          <w:rFonts w:ascii="Bodoni MT" w:hAnsi="Bodoni MT"/>
          <w:spacing w:val="-2"/>
          <w:lang w:val="en-ID" w:eastAsia="zh-CN"/>
        </w:rPr>
        <w:fldChar w:fldCharType="end"/>
      </w:r>
      <w:r w:rsidRPr="00231C32">
        <w:rPr>
          <w:rFonts w:ascii="Bodoni MT" w:hAnsi="Bodoni MT"/>
          <w:spacing w:val="-2"/>
          <w:lang w:val="en-ID" w:eastAsia="zh-CN"/>
        </w:rPr>
        <w:t xml:space="preserve">. Dunn and Dunn in </w:t>
      </w:r>
      <w:proofErr w:type="spellStart"/>
      <w:r w:rsidRPr="00231C32">
        <w:rPr>
          <w:rFonts w:ascii="Bodoni MT" w:hAnsi="Bodoni MT"/>
          <w:spacing w:val="-2"/>
          <w:lang w:val="en-ID" w:eastAsia="zh-CN"/>
        </w:rPr>
        <w:t>Gilakjani</w:t>
      </w:r>
      <w:proofErr w:type="spellEnd"/>
      <w:r w:rsidRPr="00231C32">
        <w:rPr>
          <w:rFonts w:ascii="Bodoni MT" w:hAnsi="Bodoni MT"/>
          <w:spacing w:val="-2"/>
          <w:lang w:val="en-ID" w:eastAsia="zh-CN"/>
        </w:rPr>
        <w:t xml:space="preserve"> (2011) stated that only about 20-30% of school-age children fall into the auditory learning style type, 40% are students with visual learning styles, and 30-40% as </w:t>
      </w:r>
      <w:proofErr w:type="spellStart"/>
      <w:r w:rsidRPr="00231C32">
        <w:rPr>
          <w:rFonts w:ascii="Bodoni MT" w:hAnsi="Bodoni MT"/>
          <w:spacing w:val="-2"/>
          <w:lang w:val="en-ID" w:eastAsia="zh-CN"/>
        </w:rPr>
        <w:t>kinesthetic</w:t>
      </w:r>
      <w:proofErr w:type="spellEnd"/>
      <w:r w:rsidRPr="00231C32">
        <w:rPr>
          <w:rFonts w:ascii="Bodoni MT" w:hAnsi="Bodoni MT"/>
          <w:spacing w:val="-2"/>
          <w:lang w:val="en-ID" w:eastAsia="zh-CN"/>
        </w:rPr>
        <w:t xml:space="preserve"> or visual learners/tactics </w:t>
      </w:r>
      <w:r w:rsidRPr="00231C32">
        <w:rPr>
          <w:rFonts w:ascii="Bodoni MT" w:hAnsi="Bodoni MT"/>
          <w:spacing w:val="-2"/>
          <w:lang w:val="en-ID" w:eastAsia="zh-CN"/>
        </w:rPr>
        <w:fldChar w:fldCharType="begin" w:fldLock="1"/>
      </w:r>
      <w:r w:rsidRPr="00231C32">
        <w:rPr>
          <w:rFonts w:ascii="Bodoni MT" w:hAnsi="Bodoni MT"/>
          <w:spacing w:val="-2"/>
          <w:lang w:val="en-ID" w:eastAsia="zh-CN"/>
        </w:rPr>
        <w:instrText>ADDIN CSL_CITATION {"citationItems":[{"id":"ITEM-1","itemData":{"DOI":"10.1177/001440298304900602","ISSN":"00144029","PMID":"6861829","abstract":"This paper provides an overview of research into learning styles by The Center for the Study of Learning and Teaching Styles. It explains the concept and the instruments we use to identify students’ individual characteristics; it also summarizes the investigations that verify the (a) increased academic achievement, (b) improved attitudes toward school, and (c) reduced numbers of discipline problems that result when youngsters are taught through materials or strategies that complement their styles. Research that reveals the styles of gifted and underachieving students is presented, and resources available to those interested in examining the phenomena more closely are described. © 1983, Council for Exceptional Children. All rights reserved.","author":[{"dropping-particle":"","family":"Dunn","given":"Rita","non-dropping-particle":"","parse-names":false,"suffix":""}],"container-title":"Exceptional Children","id":"ITEM-1","issue":"6","issued":{"date-parts":[["1983"]]},"page":"496-506","title":"Learning Style and its Relation to Exceptionality at Both Ends of the Spectrum","type":"article-journal","volume":"49"},"uris":["http://www.mendeley.com/documents/?uuid=af66b365-50bf-4f62-8c91-f2f20b7040b3"]}],"mendeley":{"formattedCitation":"(Dunn, 1983)","plainTextFormattedCitation":"(Dunn, 1983)","previouslyFormattedCitation":"(Dunn, 1983)"},"properties":{"noteIndex":0},"schema":"https://github.com/citation-style-language/schema/raw/master/csl-citation.json"}</w:instrText>
      </w:r>
      <w:r w:rsidRPr="00231C32">
        <w:rPr>
          <w:rFonts w:ascii="Bodoni MT" w:hAnsi="Bodoni MT"/>
          <w:spacing w:val="-2"/>
          <w:lang w:val="en-ID" w:eastAsia="zh-CN"/>
        </w:rPr>
        <w:fldChar w:fldCharType="separate"/>
      </w:r>
      <w:r w:rsidRPr="00231C32">
        <w:rPr>
          <w:rFonts w:ascii="Bodoni MT" w:hAnsi="Bodoni MT"/>
          <w:noProof/>
          <w:spacing w:val="-2"/>
          <w:lang w:val="en-ID" w:eastAsia="zh-CN"/>
        </w:rPr>
        <w:t>(Dunn, 1983)</w:t>
      </w:r>
      <w:r w:rsidRPr="00231C32">
        <w:rPr>
          <w:rFonts w:ascii="Bodoni MT" w:hAnsi="Bodoni MT"/>
          <w:spacing w:val="-2"/>
          <w:lang w:val="en-ID" w:eastAsia="zh-CN"/>
        </w:rPr>
        <w:fldChar w:fldCharType="end"/>
      </w:r>
      <w:r w:rsidRPr="00231C32">
        <w:rPr>
          <w:rFonts w:ascii="Bodoni MT" w:hAnsi="Bodoni MT"/>
          <w:spacing w:val="-2"/>
          <w:lang w:val="en-ID" w:eastAsia="zh-CN"/>
        </w:rPr>
        <w:t xml:space="preserve">. In addition, the results of research to identify VAK learning styles in </w:t>
      </w:r>
      <w:proofErr w:type="spellStart"/>
      <w:r w:rsidRPr="00231C32">
        <w:rPr>
          <w:rFonts w:ascii="Bodoni MT" w:hAnsi="Bodoni MT"/>
          <w:spacing w:val="-2"/>
          <w:lang w:val="en-ID" w:eastAsia="zh-CN"/>
        </w:rPr>
        <w:t>Sohar</w:t>
      </w:r>
      <w:proofErr w:type="spellEnd"/>
      <w:r w:rsidRPr="00231C32">
        <w:rPr>
          <w:rFonts w:ascii="Bodoni MT" w:hAnsi="Bodoni MT"/>
          <w:spacing w:val="-2"/>
          <w:lang w:val="en-ID" w:eastAsia="zh-CN"/>
        </w:rPr>
        <w:t xml:space="preserve"> students in Oman showed that 36% were visual, 35% auditory, and 29% </w:t>
      </w:r>
      <w:proofErr w:type="spellStart"/>
      <w:r w:rsidRPr="00231C32">
        <w:rPr>
          <w:rFonts w:ascii="Bodoni MT" w:hAnsi="Bodoni MT"/>
          <w:spacing w:val="-2"/>
          <w:lang w:val="en-ID" w:eastAsia="zh-CN"/>
        </w:rPr>
        <w:t>kinesthetic</w:t>
      </w:r>
      <w:proofErr w:type="spellEnd"/>
      <w:r w:rsidRPr="00231C32">
        <w:rPr>
          <w:rFonts w:ascii="Bodoni MT" w:hAnsi="Bodoni MT"/>
          <w:spacing w:val="-2"/>
          <w:lang w:val="en-ID" w:eastAsia="zh-CN"/>
        </w:rPr>
        <w:t xml:space="preserve"> </w:t>
      </w:r>
      <w:r w:rsidRPr="00231C32">
        <w:rPr>
          <w:rFonts w:ascii="Bodoni MT" w:hAnsi="Bodoni MT"/>
          <w:spacing w:val="-2"/>
          <w:lang w:val="en-ID" w:eastAsia="zh-CN"/>
        </w:rPr>
        <w:fldChar w:fldCharType="begin" w:fldLock="1"/>
      </w:r>
      <w:r w:rsidRPr="00231C32">
        <w:rPr>
          <w:rFonts w:ascii="Bodoni MT" w:hAnsi="Bodoni MT"/>
          <w:spacing w:val="-2"/>
          <w:lang w:val="en-ID" w:eastAsia="zh-CN"/>
        </w:rPr>
        <w:instrText>ADDIN CSL_CITATION {"citationItems":[{"id":"ITEM-1","itemData":{"DOI":"10.1016/j.sbspro.2015.01.452","ISSN":"18770428","abstract":"Analyzing learners’ characteristics is an important preliminary step in learning and teaching design. Specifically it aids in the selection and adoption of suitable teaching method/s and developing appropriate learning materials. Learner background, learning preferences and learning styles are examples of these characteristics. Because each learner has individual characteristics, adjusting instruction (learning and teaching) to meet these characteristics would help each learner excel in his/her study. In other words, recognizing a learner's learning style would enhance the quality of education, making it more appropriate for that individual learner. Learning style can be defined as the way in which a learner perceives and processes information. Academic literature identifies several learning styles. Visual, Auditory and Kinesthetic (VAK) styles are commonly used to classified learners as Visual learners, Auditory learners or Kinesthetic learners. At Sohar University (SU), one of leading private universities in Sultanate of Oman, little consideration has been paid as regards to the importance of learning style as a factor to improve the educational experience of learners. Most lecturers use traditional passive approaches to course delivery. Nowadays, however, the university is in the process of encouraging a shift to active learning. This requires more individualization of instruction. The purpose of this study is to explore SU students’ learning styles, and determine what types of learners they are, Visual learners, Auditory learners or/and Kinesthetic learners. This study will also determine related factors (hand use, gender, and study streams) and their impact, as well as make recommendations to improve teaching and learning at the University.","author":[{"dropping-particle":"Al","family":"Hamdani","given":"Dawood","non-dropping-particle":"","parse-names":false,"suffix":""}],"container-title":"Procedia - Social and Behavioral Sciences","id":"ITEM-1","issued":{"date-parts":[["2015"]]},"page":"124-128","title":"Exploring Students’ Learning Style at a Gulf University: A Contributing Factor to Effective Instruction","type":"article-journal","volume":"176"},"uris":["http://www.mendeley.com/documents/?uuid=0d7dd6bd-06ce-40fb-a8ea-2e996e8d271d"]}],"mendeley":{"formattedCitation":"(Hamdani, 2015)","plainTextFormattedCitation":"(Hamdani, 2015)","previouslyFormattedCitation":"(Hamdani, 2015)"},"properties":{"noteIndex":0},"schema":"https://github.com/citation-style-language/schema/raw/master/csl-citation.json"}</w:instrText>
      </w:r>
      <w:r w:rsidRPr="00231C32">
        <w:rPr>
          <w:rFonts w:ascii="Bodoni MT" w:hAnsi="Bodoni MT"/>
          <w:spacing w:val="-2"/>
          <w:lang w:val="en-ID" w:eastAsia="zh-CN"/>
        </w:rPr>
        <w:fldChar w:fldCharType="separate"/>
      </w:r>
      <w:r w:rsidRPr="00231C32">
        <w:rPr>
          <w:rFonts w:ascii="Bodoni MT" w:hAnsi="Bodoni MT"/>
          <w:noProof/>
          <w:spacing w:val="-2"/>
          <w:lang w:val="en-ID" w:eastAsia="zh-CN"/>
        </w:rPr>
        <w:t>(Hamdani, 2015)</w:t>
      </w:r>
      <w:r w:rsidRPr="00231C32">
        <w:rPr>
          <w:rFonts w:ascii="Bodoni MT" w:hAnsi="Bodoni MT"/>
          <w:spacing w:val="-2"/>
          <w:lang w:val="en-ID" w:eastAsia="zh-CN"/>
        </w:rPr>
        <w:fldChar w:fldCharType="end"/>
      </w:r>
      <w:r w:rsidRPr="00231C32">
        <w:rPr>
          <w:rFonts w:ascii="Bodoni MT" w:hAnsi="Bodoni MT"/>
          <w:spacing w:val="-2"/>
          <w:lang w:val="en-ID" w:eastAsia="zh-CN"/>
        </w:rPr>
        <w:t>. Furthermore, research conducted by (</w:t>
      </w:r>
      <w:proofErr w:type="spellStart"/>
      <w:r w:rsidRPr="00231C32">
        <w:rPr>
          <w:rFonts w:ascii="Bodoni MT" w:hAnsi="Bodoni MT"/>
          <w:spacing w:val="-2"/>
          <w:lang w:val="en-ID" w:eastAsia="zh-CN"/>
        </w:rPr>
        <w:fldChar w:fldCharType="begin" w:fldLock="1"/>
      </w:r>
      <w:r w:rsidR="009A2AD0">
        <w:rPr>
          <w:rFonts w:ascii="Bodoni MT" w:hAnsi="Bodoni MT"/>
          <w:spacing w:val="-2"/>
          <w:lang w:val="en-ID" w:eastAsia="zh-CN"/>
        </w:rPr>
        <w:instrText>ADDIN CSL_CITATION {"citationItems":[{"id":"ITEM-1","itemData":{"DOI":"10.11591/edulearn.v12i3.8978","ISSN":"2089-9823","abstract":"Students use different styles or ways of receiving and managing information during learning. VARK learning style was developed based on the physiological aspect of students in the form of sensory modalities. This survey research was conducted at 30 elementary schools in Ambon City. The data of student learning was obtained by filling out the learning style questionnaire developed by Fleming. The results showed that 88.7% of students used a learning style (unimodal) and 11.3% of students combined more than one learning style (multimodal). For the unimodal learning styles, kinesthetic is most prevalent in male and female students with a percentage of 58.6%, whereas visuals are least found with a percentage of 6%. The study also revealed that multimodal learning styles were found at all bimodal, trimodal, and quadmodal combinations. The more blend of learning style, hence the frequency of determination of student learning style even less.. The combination of multiple unimodal learning styles with large numbers will result in multimodal learning styles with large numbers.","author":[{"dropping-particle":"","family":"Leasa","given":"Marleny","non-dropping-particle":"","parse-names":false,"suffix":""},{"dropping-particle":"","family":"Batlolona","given":"John Rafafy","non-dropping-particle":"","parse-names":false,"suffix":""},{"dropping-particle":"","family":"Enriquez","given":"Javier Julian","non-dropping-particle":"","parse-names":false,"suffix":""},{"dropping-particle":"","family":"Kurnaz","given":"Mehmet Altan","non-dropping-particle":"","parse-names":false,"suffix":""}],"container-title":"Journal of Education and Learning (EduLearn)","id":"ITEM-1","issue":"3","issued":{"date-parts":[["2018"]]},"page":"478-486","title":"Determination Of Elementary Students’ Learning Styles Reviewed From Gender Aspects","type":"article-journal","volume":"12"},"uris":["http://www.mendeley.com/documents/?uuid=acadf7d5-da2d-4b93-8186-0e641eee7b52"]}],"mendeley":{"formattedCitation":"(Leasa et al., 2018)","manualFormatting":"Leasa et al. 2018)","plainTextFormattedCitation":"(Leasa et al., 2018)","previouslyFormattedCitation":"(Leasa et al., 2018)"},"properties":{"noteIndex":0},"schema":"https://github.com/citation-style-language/schema/raw/master/csl-citation.json"}</w:instrText>
      </w:r>
      <w:r w:rsidRPr="00231C32">
        <w:rPr>
          <w:rFonts w:ascii="Bodoni MT" w:hAnsi="Bodoni MT"/>
          <w:spacing w:val="-2"/>
          <w:lang w:val="en-ID" w:eastAsia="zh-CN"/>
        </w:rPr>
        <w:fldChar w:fldCharType="separate"/>
      </w:r>
      <w:r w:rsidRPr="00231C32">
        <w:rPr>
          <w:rFonts w:ascii="Bodoni MT" w:hAnsi="Bodoni MT"/>
          <w:noProof/>
          <w:spacing w:val="-2"/>
          <w:lang w:val="en-ID" w:eastAsia="zh-CN"/>
        </w:rPr>
        <w:t>Leasa</w:t>
      </w:r>
      <w:proofErr w:type="spellEnd"/>
      <w:r w:rsidRPr="00231C32">
        <w:rPr>
          <w:rFonts w:ascii="Bodoni MT" w:hAnsi="Bodoni MT"/>
          <w:noProof/>
          <w:spacing w:val="-2"/>
          <w:lang w:val="en-ID" w:eastAsia="zh-CN"/>
        </w:rPr>
        <w:t xml:space="preserve"> et al. 2018)</w:t>
      </w:r>
      <w:r w:rsidRPr="00231C32">
        <w:rPr>
          <w:rFonts w:ascii="Bodoni MT" w:hAnsi="Bodoni MT"/>
          <w:spacing w:val="-2"/>
          <w:lang w:val="en-ID" w:eastAsia="zh-CN"/>
        </w:rPr>
        <w:fldChar w:fldCharType="end"/>
      </w:r>
      <w:r w:rsidRPr="00231C32">
        <w:rPr>
          <w:rFonts w:ascii="Bodoni MT" w:hAnsi="Bodoni MT"/>
          <w:spacing w:val="-2"/>
          <w:lang w:val="en-ID" w:eastAsia="zh-CN"/>
        </w:rPr>
        <w:t xml:space="preserve"> stated that 88.7% of students used a learning style (</w:t>
      </w:r>
      <w:proofErr w:type="spellStart"/>
      <w:r w:rsidRPr="00231C32">
        <w:rPr>
          <w:rFonts w:ascii="Bodoni MT" w:hAnsi="Bodoni MT"/>
          <w:spacing w:val="-2"/>
          <w:lang w:val="en-ID" w:eastAsia="zh-CN"/>
        </w:rPr>
        <w:t>unimodal</w:t>
      </w:r>
      <w:proofErr w:type="spellEnd"/>
      <w:r w:rsidRPr="00231C32">
        <w:rPr>
          <w:rFonts w:ascii="Bodoni MT" w:hAnsi="Bodoni MT"/>
          <w:spacing w:val="-2"/>
          <w:lang w:val="en-ID" w:eastAsia="zh-CN"/>
        </w:rPr>
        <w:t xml:space="preserve">), and 11.3% of students combined more than one learning style (multimodal). For </w:t>
      </w:r>
      <w:proofErr w:type="spellStart"/>
      <w:r w:rsidRPr="00231C32">
        <w:rPr>
          <w:rFonts w:ascii="Bodoni MT" w:hAnsi="Bodoni MT"/>
          <w:spacing w:val="-2"/>
          <w:lang w:val="en-ID" w:eastAsia="zh-CN"/>
        </w:rPr>
        <w:t>unimodal</w:t>
      </w:r>
      <w:proofErr w:type="spellEnd"/>
      <w:r w:rsidRPr="00231C32">
        <w:rPr>
          <w:rFonts w:ascii="Bodoni MT" w:hAnsi="Bodoni MT"/>
          <w:spacing w:val="-2"/>
          <w:lang w:val="en-ID" w:eastAsia="zh-CN"/>
        </w:rPr>
        <w:t xml:space="preserve"> learning styles, </w:t>
      </w:r>
      <w:proofErr w:type="spellStart"/>
      <w:r w:rsidRPr="00231C32">
        <w:rPr>
          <w:rFonts w:ascii="Bodoni MT" w:hAnsi="Bodoni MT"/>
          <w:spacing w:val="-2"/>
          <w:lang w:val="en-ID" w:eastAsia="zh-CN"/>
        </w:rPr>
        <w:t>kinesthetic</w:t>
      </w:r>
      <w:proofErr w:type="spellEnd"/>
      <w:r w:rsidRPr="00231C32">
        <w:rPr>
          <w:rFonts w:ascii="Bodoni MT" w:hAnsi="Bodoni MT"/>
          <w:spacing w:val="-2"/>
          <w:lang w:val="en-ID" w:eastAsia="zh-CN"/>
        </w:rPr>
        <w:t xml:space="preserve"> is most prevalent in male and female students, with a percentage of 58.6%, while visual is least found, with a rate of 6%. </w:t>
      </w:r>
    </w:p>
    <w:p w14:paraId="06D8C65C" w14:textId="3411C24F" w:rsidR="00231C32" w:rsidRDefault="00231C32" w:rsidP="00231C32">
      <w:pPr>
        <w:pStyle w:val="Alishlah31text"/>
        <w:rPr>
          <w:rFonts w:ascii="Bodoni MT" w:hAnsi="Bodoni MT"/>
          <w:spacing w:val="-2"/>
          <w:sz w:val="22"/>
          <w:lang w:val="en-ID" w:eastAsia="zh-CN"/>
        </w:rPr>
      </w:pPr>
      <w:r w:rsidRPr="00231C32">
        <w:rPr>
          <w:rFonts w:ascii="Bodoni MT" w:hAnsi="Bodoni MT"/>
          <w:spacing w:val="-2"/>
          <w:sz w:val="22"/>
          <w:lang w:val="en-ID" w:eastAsia="zh-CN"/>
        </w:rPr>
        <w:t xml:space="preserve">Good cognitive skills are critical in student mathematics learning, which can help in understanding and mastering mathematical concepts </w:t>
      </w:r>
      <w:r w:rsidRPr="00231C32">
        <w:rPr>
          <w:rFonts w:ascii="Bodoni MT" w:hAnsi="Bodoni MT"/>
          <w:spacing w:val="-2"/>
          <w:sz w:val="22"/>
          <w:lang w:val="en-ID" w:eastAsia="zh-CN"/>
        </w:rPr>
        <w:fldChar w:fldCharType="begin" w:fldLock="1"/>
      </w:r>
      <w:r w:rsidR="009A2AD0">
        <w:rPr>
          <w:rFonts w:ascii="Bodoni MT" w:hAnsi="Bodoni MT"/>
          <w:spacing w:val="-2"/>
          <w:sz w:val="22"/>
          <w:lang w:val="en-ID" w:eastAsia="zh-CN"/>
        </w:rPr>
        <w:instrText>ADDIN CSL_CITATION {"citationItems":[{"id":"ITEM-1","itemData":{"DOI":"10.3389/fpsyg.2023.1239933","ISSN":"16641078","abstract":"Introduction: Procrastination is a complex psychological and behavioral construct that is strongly influenced by certain personality traits. In mathematics learning, students find it difficult to master the concepts because of less exposure to learning styles. Poor knowledge of mathematical concepts leads to academic procrastination in the subject of Mathematics among students. Therefore, this study aims to identify students’ learning styles in Mathematics, identify the stages of students’ academic procrastination in Mathematics, and determine whether there is a significant influence of learning styles (visual, auditory, and kinesthetic) on academic procrastination among secondary school students in Mathematics. Methods: A quantitative approach with a survey was applied. A total of 500 Form Two and Form Four students in five national secondary schools in the Kota Bharu district, Kelantan, were selected using simple random sampling. The duration of data gathering started from 4 October 2022 until 31 January 2023. The Learning Styles Questionnaire and the Academic Procrastination Questionnaire were adapted and verified by eight experts in psychology and counseling. Descriptive and multiple regression tests were carried out using IBM SPSS version 26.0. Results: The results revealed that the visual learning style was the most dominant learning style among students in the subject of Mathematics, followed by auditory and kinesthetic. The level of students’ academic procrastination in Mathematics was low. Besides, multiple regression showed that visual and kinesthetic learning styles were significant contributors or predictors, which amounted to 14.1% of the variation in students’ academic procrastination in Mathematics. Discussion: The implications of this study highlight the possibility to improve programs in schools by exposing students to suitable learning styles so that they can practice effective learning styles in Mathematics and consequently overcome academic procrastination. Further research can be carried out by identifying other factors that encourage academic procrastination in the subject of Mathematics in order to increase students’ motivation and self-efficacy.","author":[{"dropping-particle":"","family":"Wan Hussin","given":"Wan Anis Syamimi","non-dropping-particle":"","parse-names":false,"suffix":""},{"dropping-particle":"","family":"Mohd Matore","given":"Mohd Effendi Ewan","non-dropping-particle":"","parse-names":false,"suffix":""}],"container-title":"Frontiers in Psychology","id":"ITEM-1","issued":{"date-parts":[["2023"]]},"page":"1-12","title":"The influence of learning styles on academic procrastination among students in mathematics","type":"article-journal","volume":"14"},"uris":["http://www.mendeley.com/documents/?uuid=8fb1a4fe-fb21-4f41-be18-457ee7d80b98"]}],"mendeley":{"formattedCitation":"(Wan Hussin &amp; Mohd Matore, 2023)"},"properties":{"noteIndex":0},"schema":"https://github.com/citation-style-language/schema/raw/master/csl-citation.json"}</w:instrText>
      </w:r>
      <w:r w:rsidRPr="00231C32">
        <w:rPr>
          <w:rFonts w:ascii="Bodoni MT" w:hAnsi="Bodoni MT"/>
          <w:spacing w:val="-2"/>
          <w:sz w:val="22"/>
          <w:lang w:val="en-ID" w:eastAsia="zh-CN"/>
        </w:rPr>
        <w:fldChar w:fldCharType="separate"/>
      </w:r>
      <w:r w:rsidR="009A2AD0" w:rsidRPr="009A2AD0">
        <w:rPr>
          <w:rFonts w:ascii="Bodoni MT" w:hAnsi="Bodoni MT"/>
          <w:noProof/>
          <w:spacing w:val="-2"/>
          <w:sz w:val="22"/>
          <w:lang w:val="en-ID" w:eastAsia="zh-CN"/>
        </w:rPr>
        <w:t>(Wan Hussin &amp; Mohd Matore, 2023)</w:t>
      </w:r>
      <w:r w:rsidRPr="00231C32">
        <w:rPr>
          <w:rFonts w:ascii="Bodoni MT" w:hAnsi="Bodoni MT"/>
          <w:spacing w:val="-2"/>
          <w:sz w:val="22"/>
          <w:lang w:val="en-ID" w:eastAsia="zh-CN"/>
        </w:rPr>
        <w:fldChar w:fldCharType="end"/>
      </w:r>
      <w:r w:rsidRPr="00231C32">
        <w:rPr>
          <w:rFonts w:ascii="Bodoni MT" w:hAnsi="Bodoni MT"/>
          <w:spacing w:val="-2"/>
          <w:sz w:val="22"/>
          <w:lang w:val="en-ID" w:eastAsia="zh-CN"/>
        </w:rPr>
        <w:t xml:space="preserve"> The VAK learning style is more well-known and easy to use in identifying a person's learning style </w:t>
      </w:r>
      <w:r w:rsidRPr="00231C32">
        <w:rPr>
          <w:rFonts w:ascii="Bodoni MT" w:hAnsi="Bodoni MT"/>
          <w:spacing w:val="-2"/>
          <w:sz w:val="22"/>
          <w:lang w:val="en-ID" w:eastAsia="zh-CN"/>
        </w:rPr>
        <w:fldChar w:fldCharType="begin" w:fldLock="1"/>
      </w:r>
      <w:r w:rsidRPr="00231C32">
        <w:rPr>
          <w:rFonts w:ascii="Bodoni MT" w:hAnsi="Bodoni MT"/>
          <w:spacing w:val="-2"/>
          <w:sz w:val="22"/>
          <w:lang w:val="en-ID" w:eastAsia="zh-CN"/>
        </w:rPr>
        <w:instrText>ADDIN CSL_CITATION {"citationItems":[{"id":"ITEM-1","itemData":{"DOI":"10.1016/s2212-5671(15)01161-2","ISSN":"22125671","abstract":"A number of studies have been conducted to investigate the underlying causes of effective learning through learning styles that may help to improve performance and achievement in the classrooms. Due to its importance, assessing learning styles in the academic fields have been the main focus for future research. Thus, it is paramount to study the preferences of learning styles that create effective learners. Exploratory factor analysis has been used in this study for statistical purposes. Therefore, it is hope that this study could help to produce more students with better academic performance and reduce the failure rate. This study is a preliminary research to assess the learning key factors (LKF) among UniversitiTeknologi MARA students who took Statistics subject. Forty nine (49) respondents were selected using stratum proportion and they were then selected from each stratum using simple random sampling. The exploratory factor analysis of this research suggests that there are five learning key factors (LKF) which account for 67.404% of the total variance with considerably reduce the complexity of the data set by using these components with 33% loss of information. Kaiser-Meyer-Olkin value is 0.621 and small values of the significance level of Bartlett's test of sphericity (0.000) indicate factor analysis is feasible for this data set. Varimax rotation with Kaiser normalization was performed and five factors solution was revealed labelled as attention and concentrating, visual learners, audio learners, kinaesthetic learners and cognitive factors. Main findings suggested that the result of 15-items scale was much more reliable instruments than the initial 27-items scale with Cronbach's alpha correlation coefficients of 0.735.","author":[{"dropping-particle":"","family":"Jamil","given":"Nur Izzah","non-dropping-particle":"","parse-names":false,"suffix":""},{"dropping-particle":"","family":"Baharuddin","given":"Farrah Nadia","non-dropping-particle":"","parse-names":false,"suffix":""},{"dropping-particle":"","family":"Maknu","given":"Tengku Sharifeleani Ratul","non-dropping-particle":"","parse-names":false,"suffix":""}],"container-title":"Procedia Economics and Finance","id":"ITEM-1","issue":"15","issued":{"date-parts":[["2015"]]},"page":"722-729","title":"Factors Mining in Engaging Students Learning Styles Using Exploratory Factor Analysis","type":"article-journal","volume":"31"},"uris":["http://www.mendeley.com/documents/?uuid=203515c0-5ae6-47a9-a5e2-26de59cfe067"]}],"mendeley":{"formattedCitation":"(Jamil et al., 2015)","plainTextFormattedCitation":"(Jamil et al., 2015)","previouslyFormattedCitation":"(Jamil et al., 2015)"},"properties":{"noteIndex":0},"schema":"https://github.com/citation-style-language/schema/raw/master/csl-citation.json"}</w:instrText>
      </w:r>
      <w:r w:rsidRPr="00231C32">
        <w:rPr>
          <w:rFonts w:ascii="Bodoni MT" w:hAnsi="Bodoni MT"/>
          <w:spacing w:val="-2"/>
          <w:sz w:val="22"/>
          <w:lang w:val="en-ID" w:eastAsia="zh-CN"/>
        </w:rPr>
        <w:fldChar w:fldCharType="separate"/>
      </w:r>
      <w:r w:rsidRPr="00231C32">
        <w:rPr>
          <w:rFonts w:ascii="Bodoni MT" w:hAnsi="Bodoni MT"/>
          <w:noProof/>
          <w:spacing w:val="-2"/>
          <w:sz w:val="22"/>
          <w:lang w:val="en-ID" w:eastAsia="zh-CN"/>
        </w:rPr>
        <w:t>(Jamil et al., 2015)</w:t>
      </w:r>
      <w:r w:rsidRPr="00231C32">
        <w:rPr>
          <w:rFonts w:ascii="Bodoni MT" w:hAnsi="Bodoni MT"/>
          <w:spacing w:val="-2"/>
          <w:sz w:val="22"/>
          <w:lang w:val="en-ID" w:eastAsia="zh-CN"/>
        </w:rPr>
        <w:fldChar w:fldCharType="end"/>
      </w:r>
      <w:r w:rsidRPr="00231C32">
        <w:rPr>
          <w:rFonts w:ascii="Bodoni MT" w:hAnsi="Bodoni MT"/>
          <w:spacing w:val="-2"/>
          <w:sz w:val="22"/>
          <w:lang w:val="en-ID" w:eastAsia="zh-CN"/>
        </w:rPr>
        <w:t xml:space="preserve">. One of the most </w:t>
      </w:r>
      <w:r w:rsidRPr="00231C32">
        <w:rPr>
          <w:rFonts w:ascii="Bodoni MT" w:hAnsi="Bodoni MT"/>
          <w:spacing w:val="-2"/>
          <w:sz w:val="22"/>
          <w:lang w:val="en-ID" w:eastAsia="zh-CN"/>
        </w:rPr>
        <w:lastRenderedPageBreak/>
        <w:t xml:space="preserve">popular learning style theories is Fleming &amp; Mills' (1992) VARK model (visual, aural, reading/writing, </w:t>
      </w:r>
      <w:proofErr w:type="spellStart"/>
      <w:proofErr w:type="gramStart"/>
      <w:r w:rsidRPr="00231C32">
        <w:rPr>
          <w:rFonts w:ascii="Bodoni MT" w:hAnsi="Bodoni MT"/>
          <w:spacing w:val="-2"/>
          <w:sz w:val="22"/>
          <w:lang w:val="en-ID" w:eastAsia="zh-CN"/>
        </w:rPr>
        <w:t>kinesthetic</w:t>
      </w:r>
      <w:proofErr w:type="spellEnd"/>
      <w:proofErr w:type="gramEnd"/>
      <w:r w:rsidRPr="00231C32">
        <w:rPr>
          <w:rFonts w:ascii="Bodoni MT" w:hAnsi="Bodoni MT"/>
          <w:spacing w:val="-2"/>
          <w:sz w:val="22"/>
          <w:lang w:val="en-ID" w:eastAsia="zh-CN"/>
        </w:rPr>
        <w:t xml:space="preserve">). It has been modified from the VAK model by adding R by </w:t>
      </w:r>
      <w:r w:rsidRPr="00231C32">
        <w:rPr>
          <w:rFonts w:ascii="Bodoni MT" w:hAnsi="Bodoni MT"/>
          <w:spacing w:val="-2"/>
          <w:sz w:val="22"/>
          <w:lang w:val="en-ID" w:eastAsia="zh-CN"/>
        </w:rPr>
        <w:fldChar w:fldCharType="begin" w:fldLock="1"/>
      </w:r>
      <w:r w:rsidRPr="00231C32">
        <w:rPr>
          <w:rFonts w:ascii="Bodoni MT" w:hAnsi="Bodoni MT"/>
          <w:spacing w:val="-2"/>
          <w:sz w:val="22"/>
          <w:lang w:val="en-ID" w:eastAsia="zh-CN"/>
        </w:rPr>
        <w:instrText>ADDIN CSL_CITATION {"citationItems":[{"id":"ITEM-1","itemData":{"DOI":"10.7748/ns.6.2.51.s64","ISSN":"03683958","author":[{"dropping-particle":"","family":"Fleming","given":"Neil","non-dropping-particle":"","parse-names":false,"suffix":""},{"dropping-particle":"","family":"Baume","given":"David","non-dropping-particle":"","parse-names":false,"suffix":""}],"container-title":"Educational Developments","id":"ITEM-1","issue":"4","issued":{"date-parts":[["2006"]]},"page":"4-7","title":"Learning styles again: VARKing up the right tree","type":"article-journal","volume":"7"},"uris":["http://www.mendeley.com/documents/?uuid=3f7942eb-fc40-4fe3-a27a-53bc0e3b3053"]}],"mendeley":{"formattedCitation":"(Fleming &amp; Baume, 2006)","manualFormatting":"Fleming &amp; Baume (2006)","plainTextFormattedCitation":"(Fleming &amp; Baume, 2006)","previouslyFormattedCitation":"(Fleming &amp; Baume, 2006)"},"properties":{"noteIndex":0},"schema":"https://github.com/citation-style-language/schema/raw/master/csl-citation.json"}</w:instrText>
      </w:r>
      <w:r w:rsidRPr="00231C32">
        <w:rPr>
          <w:rFonts w:ascii="Bodoni MT" w:hAnsi="Bodoni MT"/>
          <w:spacing w:val="-2"/>
          <w:sz w:val="22"/>
          <w:lang w:val="en-ID" w:eastAsia="zh-CN"/>
        </w:rPr>
        <w:fldChar w:fldCharType="separate"/>
      </w:r>
      <w:r w:rsidRPr="00231C32">
        <w:rPr>
          <w:rFonts w:ascii="Bodoni MT" w:hAnsi="Bodoni MT"/>
          <w:noProof/>
          <w:spacing w:val="-2"/>
          <w:sz w:val="22"/>
          <w:lang w:val="en-ID" w:eastAsia="zh-CN"/>
        </w:rPr>
        <w:t>Fleming &amp; Baume (2006)</w:t>
      </w:r>
      <w:r w:rsidRPr="00231C32">
        <w:rPr>
          <w:rFonts w:ascii="Bodoni MT" w:hAnsi="Bodoni MT"/>
          <w:spacing w:val="-2"/>
          <w:sz w:val="22"/>
          <w:lang w:val="en-ID" w:eastAsia="zh-CN"/>
        </w:rPr>
        <w:fldChar w:fldCharType="end"/>
      </w:r>
      <w:r w:rsidRPr="00231C32">
        <w:rPr>
          <w:rFonts w:ascii="Bodoni MT" w:hAnsi="Bodoni MT"/>
          <w:spacing w:val="-2"/>
          <w:sz w:val="22"/>
          <w:lang w:val="en-ID" w:eastAsia="zh-CN"/>
        </w:rPr>
        <w:t xml:space="preserve"> because he believes that although learners can be visual, they may learn better by reading written forms rather than pictures or symbols. Learners can be multimodal by having two or more modes develop equally. Thus, learning styles can help students understand math concepts more effectively </w:t>
      </w:r>
      <w:r w:rsidRPr="00231C32">
        <w:rPr>
          <w:rFonts w:ascii="Bodoni MT" w:hAnsi="Bodoni MT"/>
          <w:spacing w:val="-2"/>
          <w:sz w:val="22"/>
          <w:lang w:val="en-ID" w:eastAsia="zh-CN"/>
        </w:rPr>
        <w:fldChar w:fldCharType="begin" w:fldLock="1"/>
      </w:r>
      <w:r w:rsidRPr="00231C32">
        <w:rPr>
          <w:rFonts w:ascii="Bodoni MT" w:hAnsi="Bodoni MT"/>
          <w:spacing w:val="-2"/>
          <w:sz w:val="22"/>
          <w:lang w:val="en-ID" w:eastAsia="zh-CN"/>
        </w:rPr>
        <w:instrText>ADDIN CSL_CITATION {"citationItems":[{"id":"ITEM-1","itemData":{"DOI":"10.1177/1477878515606621","ISSN":"17413192","abstract":"In an influential publication in 2009, a group of cognitive psychologists revealed that there was a lack of empirical evidence supporting the concept of learning styles-based instruction and provided guidelines for the type of research design necessary to verify the learning styles hypothesis. This article examined the literature since 2009 to ascertain whether the void has been filled by rigorous studies designed to test the matching hypothesis and identify interaction effects. Correlational and experimental research recently published on learning styles is reviewed, along with an examination of how the subject is portrayed in teacher education texts. Results revealed that the more methodologically sound studies have tended to refute the hypothesis and that a substantial divide continues to exist, with learning styles instruction enjoying broad acceptance in practice, but the majority of research evidence suggesting that it has no benefit to student learning, deepening questions about its validity. © 2015, SAGE Publications. All rights reserved.","author":[{"dropping-particle":"","family":"Cuevas","given":"Joshua","non-dropping-particle":"","parse-names":false,"suffix":""}],"container-title":"Theory and Research in Education","id":"ITEM-1","issue":"3","issued":{"date-parts":[["2015"]]},"page":"308-333","title":"Is learning styles-based instruction effective? A comprehensive analysis of recent research on learning styles","type":"article-journal","volume":"13"},"uris":["http://www.mendeley.com/documents/?uuid=f25dc5c1-29dc-4c6c-861e-78222d7fc2b9"]}],"mendeley":{"formattedCitation":"(Cuevas, 2015)","plainTextFormattedCitation":"(Cuevas, 2015)","previouslyFormattedCitation":"(Cuevas, 2015)"},"properties":{"noteIndex":0},"schema":"https://github.com/citation-style-language/schema/raw/master/csl-citation.json"}</w:instrText>
      </w:r>
      <w:r w:rsidRPr="00231C32">
        <w:rPr>
          <w:rFonts w:ascii="Bodoni MT" w:hAnsi="Bodoni MT"/>
          <w:spacing w:val="-2"/>
          <w:sz w:val="22"/>
          <w:lang w:val="en-ID" w:eastAsia="zh-CN"/>
        </w:rPr>
        <w:fldChar w:fldCharType="separate"/>
      </w:r>
      <w:r w:rsidRPr="00231C32">
        <w:rPr>
          <w:rFonts w:ascii="Bodoni MT" w:hAnsi="Bodoni MT"/>
          <w:noProof/>
          <w:spacing w:val="-2"/>
          <w:sz w:val="22"/>
          <w:lang w:val="en-ID" w:eastAsia="zh-CN"/>
        </w:rPr>
        <w:t>(Cuevas, 2015)</w:t>
      </w:r>
      <w:r w:rsidRPr="00231C32">
        <w:rPr>
          <w:rFonts w:ascii="Bodoni MT" w:hAnsi="Bodoni MT"/>
          <w:spacing w:val="-2"/>
          <w:sz w:val="22"/>
          <w:lang w:val="en-ID" w:eastAsia="zh-CN"/>
        </w:rPr>
        <w:fldChar w:fldCharType="end"/>
      </w:r>
      <w:r w:rsidRPr="00231C32">
        <w:rPr>
          <w:rFonts w:ascii="Bodoni MT" w:hAnsi="Bodoni MT"/>
          <w:spacing w:val="-2"/>
          <w:sz w:val="22"/>
          <w:lang w:val="en-ID" w:eastAsia="zh-CN"/>
        </w:rPr>
        <w:t xml:space="preserve">. In addition, they create a more enjoyable mathematics learning atmosphere because it is more interactive </w:t>
      </w:r>
      <w:r w:rsidRPr="00231C32">
        <w:rPr>
          <w:rFonts w:ascii="Bodoni MT" w:hAnsi="Bodoni MT"/>
          <w:spacing w:val="-2"/>
          <w:sz w:val="22"/>
          <w:lang w:val="en-ID" w:eastAsia="zh-CN"/>
        </w:rPr>
        <w:fldChar w:fldCharType="begin" w:fldLock="1"/>
      </w:r>
      <w:r w:rsidRPr="00231C32">
        <w:rPr>
          <w:rFonts w:ascii="Bodoni MT" w:hAnsi="Bodoni MT"/>
          <w:spacing w:val="-2"/>
          <w:sz w:val="22"/>
          <w:lang w:val="en-ID" w:eastAsia="zh-CN"/>
        </w:rPr>
        <w:instrText>ADDIN CSL_CITATION {"citationItems":[{"id":"ITEM-1","itemData":{"DOI":"10.1037/edu0000366","ISSN":"19392176","abstract":"Decades of research suggest that learning styles, or the belief that people learn better when they receive instruction in their dominant way of learning, may be one of the most pervasive myths about cognition. Nonetheless, little is known about what it means to believe in learning styles. The present investigation uses one theoretical framework-psychological essentialism-to explore the content and consistency of people's learning style beliefs. Psychological essentialism is a belief that certain categories (such as dogs, girls, or visual learners) have an underlying reality or true nature that is biologically based and highly predictive of many other features (Gelman, 2003). We tested the prevalence of erroneous essentialist beliefs regarding learning styles in both educators and noneducators, including that learning styles are innate, unchanging, discrete, and wired into the brain. In each of two experiments, we identified two groups of learning style believers, with one group holding an essentialist interpretation of learning styles, and the other group holding a nonessentialist interpretation of learning styles. No differences were found between educators' and noneducators' beliefs. In fact, only one factor was found to be a significant predictor of learning style beliefs for educators: the age of the population with whom they work. Specifically, those who worked with younger children were more likely to interpret learning styles in an essentialist way. Together the findings demonstrate that learning style beliefs are far more complex and variable than previously recognized.","author":[{"dropping-particle":"","family":"Nancekivell","given":"Shaylene E.","non-dropping-particle":"","parse-names":false,"suffix":""},{"dropping-particle":"","family":"Shah","given":"Priti","non-dropping-particle":"","parse-names":false,"suffix":""},{"dropping-particle":"","family":"Gelman","given":"Susan A.","non-dropping-particle":"","parse-names":false,"suffix":""}],"container-title":"Journal of Educational Psychology","id":"ITEM-1","issue":"2","issued":{"date-parts":[["2020"]]},"page":"221-235","title":"Maybe they're born with it, or maybe it's experience: Toward a deeper understanding of the learning style myth","type":"article-journal","volume":"112"},"uris":["http://www.mendeley.com/documents/?uuid=45cd9d20-1cb6-4b29-a593-48a75061fcf3"]}],"mendeley":{"formattedCitation":"(Nancekivell et al., 2020)","plainTextFormattedCitation":"(Nancekivell et al., 2020)","previouslyFormattedCitation":"(Nancekivell et al., 2020)"},"properties":{"noteIndex":0},"schema":"https://github.com/citation-style-language/schema/raw/master/csl-citation.json"}</w:instrText>
      </w:r>
      <w:r w:rsidRPr="00231C32">
        <w:rPr>
          <w:rFonts w:ascii="Bodoni MT" w:hAnsi="Bodoni MT"/>
          <w:spacing w:val="-2"/>
          <w:sz w:val="22"/>
          <w:lang w:val="en-ID" w:eastAsia="zh-CN"/>
        </w:rPr>
        <w:fldChar w:fldCharType="separate"/>
      </w:r>
      <w:r w:rsidRPr="00231C32">
        <w:rPr>
          <w:rFonts w:ascii="Bodoni MT" w:hAnsi="Bodoni MT"/>
          <w:noProof/>
          <w:spacing w:val="-2"/>
          <w:sz w:val="22"/>
          <w:lang w:val="en-ID" w:eastAsia="zh-CN"/>
        </w:rPr>
        <w:t>(Nancekivell et al., 2020)</w:t>
      </w:r>
      <w:r w:rsidRPr="00231C32">
        <w:rPr>
          <w:rFonts w:ascii="Bodoni MT" w:hAnsi="Bodoni MT"/>
          <w:spacing w:val="-2"/>
          <w:sz w:val="22"/>
          <w:lang w:val="en-ID" w:eastAsia="zh-CN"/>
        </w:rPr>
        <w:fldChar w:fldCharType="end"/>
      </w:r>
      <w:r w:rsidRPr="00231C32">
        <w:rPr>
          <w:rFonts w:ascii="Bodoni MT" w:hAnsi="Bodoni MT"/>
          <w:spacing w:val="-2"/>
          <w:sz w:val="22"/>
          <w:lang w:val="en-ID" w:eastAsia="zh-CN"/>
        </w:rPr>
        <w:t xml:space="preserve">. </w:t>
      </w:r>
    </w:p>
    <w:p w14:paraId="70CEEA0D" w14:textId="6ED987B5" w:rsidR="00231C32" w:rsidRDefault="00231C32" w:rsidP="00231C32">
      <w:pPr>
        <w:pStyle w:val="Alishlah31text"/>
        <w:rPr>
          <w:rFonts w:ascii="Bodoni MT" w:hAnsi="Bodoni MT"/>
          <w:spacing w:val="-2"/>
          <w:sz w:val="22"/>
          <w:lang w:val="en-ID" w:eastAsia="zh-CN"/>
        </w:rPr>
      </w:pPr>
      <w:r w:rsidRPr="00231C32">
        <w:rPr>
          <w:rFonts w:ascii="Bodoni MT" w:hAnsi="Bodoni MT"/>
          <w:spacing w:val="-2"/>
          <w:sz w:val="22"/>
          <w:lang w:val="en-ID" w:eastAsia="zh-CN"/>
        </w:rPr>
        <w:t xml:space="preserve">The characteristics of students' learning styles can be seen during math learning. Students with a visual learning style learn mathematical concepts through images, such as by describing formulas </w:t>
      </w:r>
      <w:r w:rsidRPr="00231C32">
        <w:rPr>
          <w:rFonts w:ascii="Bodoni MT" w:hAnsi="Bodoni MT"/>
          <w:spacing w:val="-2"/>
          <w:sz w:val="22"/>
          <w:lang w:val="en-ID" w:eastAsia="zh-CN"/>
        </w:rPr>
        <w:fldChar w:fldCharType="begin" w:fldLock="1"/>
      </w:r>
      <w:r w:rsidRPr="00231C32">
        <w:rPr>
          <w:rFonts w:ascii="Bodoni MT" w:hAnsi="Bodoni MT"/>
          <w:spacing w:val="-2"/>
          <w:sz w:val="22"/>
          <w:lang w:val="en-ID" w:eastAsia="zh-CN"/>
        </w:rPr>
        <w:instrText>ADDIN CSL_CITATION {"citationItems":[{"id":"ITEM-1","itemData":{"DOI":"10.1016/j.sbspro.2015.01.1101","ISSN":"18770428","abstract":"It has been observed that most students of engineering careers prefer learning by watching and doing, in other words, their prevalence style of learning is visual or kinesthetic. On the other side, visualization in computer environments helps students to make their own knowledge construction. In accordance with what was stated above, a toolkit for numerical analysis was developed, so as to assist students in the learning process of the topics covered in different courses of Numerical Analysis at Facultad Regional San Nicolás from the Universidad Tecnológica Nacional of Argentina.","author":[{"dropping-particle":"","family":"Caligaris","given":"Marta","non-dropping-particle":"","parse-names":false,"suffix":""},{"dropping-particle":"","family":"Rodríguez","given":"Georgina","non-dropping-particle":"","parse-names":false,"suffix":""},{"dropping-particle":"","family":"Laugero","given":"Lorena","non-dropping-particle":"","parse-names":false,"suffix":""}],"container-title":"Procedia - Social and Behavioral Sciences","id":"ITEM-1","issued":{"date-parts":[["2015"]]},"page":"3696-3701","publisher":"Elsevier B.V.","title":"Learning Styles and Visualization in Numerical Analysis","type":"article-journal","volume":"174"},"uris":["http://www.mendeley.com/documents/?uuid=8572e8a8-b7fa-46af-8c50-c0ae1d84ffcc"]}],"mendeley":{"formattedCitation":"(Caligaris et al., 2015)","plainTextFormattedCitation":"(Caligaris et al., 2015)","previouslyFormattedCitation":"(Caligaris et al., 2015)"},"properties":{"noteIndex":0},"schema":"https://github.com/citation-style-language/schema/raw/master/csl-citation.json"}</w:instrText>
      </w:r>
      <w:r w:rsidRPr="00231C32">
        <w:rPr>
          <w:rFonts w:ascii="Bodoni MT" w:hAnsi="Bodoni MT"/>
          <w:spacing w:val="-2"/>
          <w:sz w:val="22"/>
          <w:lang w:val="en-ID" w:eastAsia="zh-CN"/>
        </w:rPr>
        <w:fldChar w:fldCharType="separate"/>
      </w:r>
      <w:r w:rsidRPr="00231C32">
        <w:rPr>
          <w:rFonts w:ascii="Bodoni MT" w:hAnsi="Bodoni MT"/>
          <w:noProof/>
          <w:spacing w:val="-2"/>
          <w:sz w:val="22"/>
          <w:lang w:val="en-ID" w:eastAsia="zh-CN"/>
        </w:rPr>
        <w:t>(Caligaris et al., 2015)</w:t>
      </w:r>
      <w:r w:rsidRPr="00231C32">
        <w:rPr>
          <w:rFonts w:ascii="Bodoni MT" w:hAnsi="Bodoni MT"/>
          <w:spacing w:val="-2"/>
          <w:sz w:val="22"/>
          <w:lang w:val="en-ID" w:eastAsia="zh-CN"/>
        </w:rPr>
        <w:fldChar w:fldCharType="end"/>
      </w:r>
      <w:r w:rsidRPr="00231C32">
        <w:rPr>
          <w:rFonts w:ascii="Bodoni MT" w:hAnsi="Bodoni MT"/>
          <w:spacing w:val="-2"/>
          <w:sz w:val="22"/>
          <w:lang w:val="en-ID" w:eastAsia="zh-CN"/>
        </w:rPr>
        <w:t xml:space="preserve">. For example, on the topic of geometry, students with visual learning styles </w:t>
      </w:r>
      <w:proofErr w:type="spellStart"/>
      <w:r w:rsidRPr="00231C32">
        <w:rPr>
          <w:rFonts w:ascii="Bodoni MT" w:hAnsi="Bodoni MT"/>
          <w:spacing w:val="-2"/>
          <w:sz w:val="22"/>
          <w:lang w:val="en-ID" w:eastAsia="zh-CN"/>
        </w:rPr>
        <w:t>analyze</w:t>
      </w:r>
      <w:proofErr w:type="spellEnd"/>
      <w:r w:rsidRPr="00231C32">
        <w:rPr>
          <w:rFonts w:ascii="Bodoni MT" w:hAnsi="Bodoni MT"/>
          <w:spacing w:val="-2"/>
          <w:sz w:val="22"/>
          <w:lang w:val="en-ID" w:eastAsia="zh-CN"/>
        </w:rPr>
        <w:t xml:space="preserve"> geometric shapes through photographs. Meanwhile, students with auditory learning styles listen to the teacher's explanation of the math topic being studied </w:t>
      </w:r>
      <w:r w:rsidRPr="00231C32">
        <w:rPr>
          <w:rFonts w:ascii="Bodoni MT" w:hAnsi="Bodoni MT"/>
          <w:spacing w:val="-2"/>
          <w:sz w:val="22"/>
          <w:lang w:val="en-ID" w:eastAsia="zh-CN"/>
        </w:rPr>
        <w:fldChar w:fldCharType="begin" w:fldLock="1"/>
      </w:r>
      <w:r w:rsidRPr="00231C32">
        <w:rPr>
          <w:rFonts w:ascii="Bodoni MT" w:hAnsi="Bodoni MT"/>
          <w:spacing w:val="-2"/>
          <w:sz w:val="22"/>
          <w:lang w:val="en-ID" w:eastAsia="zh-CN"/>
        </w:rPr>
        <w:instrText>ADDIN CSL_CITATION {"citationItems":[{"id":"ITEM-1","itemData":{"DOI":"10.46932/sfjdv3n4-117","abstract":"This study aimed to compare the achievement in Geometry of the Grade 9 students of Abra State Institute of Sciences and Technology when grouped according to learning styles. A preference inventory was utilized to determine the learning style of the respondents while their achievement in Geometry was gauged using an achievement test. The quantitative-descriptive method of research was used in analysing and interpreting the data of the study. Majority of the respondents are visual learners. The kinesthetic learners performed best in all the three learning areas namely; Ratio and Proportion, Similar Triangles, and Pythagorean Theorem. The level of performance of the respondents in Geometry when grouped according to learning styles did not significantly differ. Whatever the learning style a student has, it does not affect his/her performance in school specifically in Geometry. Mathematics teachers may be encouraged to look and apply strategies that could enhance more the abilities of the learners which could also attract other learners with different learning styles to participate more actively the teaching-learning process.","author":[{"dropping-particle":"","family":"Zales","given":"Jonathan P.","non-dropping-particle":"","parse-names":false,"suffix":""},{"dropping-particle":"","family":"Vasquez","given":"Reymond S.","non-dropping-particle":"","parse-names":false,"suffix":""}],"container-title":"South Florida Journal of Development","id":"ITEM-1","issue":"4","issued":{"date-parts":[["2022"]]},"page":"5542-5548","title":"Learning styles and achievement in geometry","type":"article-journal","volume":"3"},"uris":["http://www.mendeley.com/documents/?uuid=ad67afb2-2773-4796-b4db-ff72d015f66c"]}],"mendeley":{"formattedCitation":"(Zales &amp; Vasquez, 2022)","plainTextFormattedCitation":"(Zales &amp; Vasquez, 2022)","previouslyFormattedCitation":"(Zales &amp; Vasquez, 2022)"},"properties":{"noteIndex":0},"schema":"https://github.com/citation-style-language/schema/raw/master/csl-citation.json"}</w:instrText>
      </w:r>
      <w:r w:rsidRPr="00231C32">
        <w:rPr>
          <w:rFonts w:ascii="Bodoni MT" w:hAnsi="Bodoni MT"/>
          <w:spacing w:val="-2"/>
          <w:sz w:val="22"/>
          <w:lang w:val="en-ID" w:eastAsia="zh-CN"/>
        </w:rPr>
        <w:fldChar w:fldCharType="separate"/>
      </w:r>
      <w:r w:rsidRPr="00231C32">
        <w:rPr>
          <w:rFonts w:ascii="Bodoni MT" w:hAnsi="Bodoni MT"/>
          <w:noProof/>
          <w:spacing w:val="-2"/>
          <w:sz w:val="22"/>
          <w:lang w:val="en-ID" w:eastAsia="zh-CN"/>
        </w:rPr>
        <w:t>(Zales &amp; Vasquez, 2022)</w:t>
      </w:r>
      <w:r w:rsidRPr="00231C32">
        <w:rPr>
          <w:rFonts w:ascii="Bodoni MT" w:hAnsi="Bodoni MT"/>
          <w:spacing w:val="-2"/>
          <w:sz w:val="22"/>
          <w:lang w:val="en-ID" w:eastAsia="zh-CN"/>
        </w:rPr>
        <w:fldChar w:fldCharType="end"/>
      </w:r>
      <w:r w:rsidRPr="00231C32">
        <w:rPr>
          <w:rFonts w:ascii="Bodoni MT" w:hAnsi="Bodoni MT"/>
          <w:spacing w:val="-2"/>
          <w:sz w:val="22"/>
          <w:lang w:val="en-ID" w:eastAsia="zh-CN"/>
        </w:rPr>
        <w:t xml:space="preserve">, and they constantly repeat math concepts, such as saying math formulas regularly so that they can remember formulas better. </w:t>
      </w:r>
      <w:proofErr w:type="spellStart"/>
      <w:r w:rsidRPr="00231C32">
        <w:rPr>
          <w:rFonts w:ascii="Bodoni MT" w:hAnsi="Bodoni MT"/>
          <w:spacing w:val="-2"/>
          <w:sz w:val="22"/>
          <w:lang w:val="en-ID" w:eastAsia="zh-CN"/>
        </w:rPr>
        <w:t>Kinesthetic</w:t>
      </w:r>
      <w:proofErr w:type="spellEnd"/>
      <w:r w:rsidRPr="00231C32">
        <w:rPr>
          <w:rFonts w:ascii="Bodoni MT" w:hAnsi="Bodoni MT"/>
          <w:spacing w:val="-2"/>
          <w:sz w:val="22"/>
          <w:lang w:val="en-ID" w:eastAsia="zh-CN"/>
        </w:rPr>
        <w:t xml:space="preserve"> learning style practices often apply math topics in daily life. For example, on the subject of algebra, students are given real situations to form algebraic expressions </w:t>
      </w:r>
      <w:r w:rsidRPr="00231C32">
        <w:rPr>
          <w:rFonts w:ascii="Bodoni MT" w:hAnsi="Bodoni MT"/>
          <w:spacing w:val="-2"/>
          <w:sz w:val="22"/>
          <w:lang w:val="en-ID" w:eastAsia="zh-CN"/>
        </w:rPr>
        <w:fldChar w:fldCharType="begin" w:fldLock="1"/>
      </w:r>
      <w:r w:rsidR="009A2AD0">
        <w:rPr>
          <w:rFonts w:ascii="Bodoni MT" w:hAnsi="Bodoni MT"/>
          <w:spacing w:val="-2"/>
          <w:sz w:val="22"/>
          <w:lang w:val="en-ID" w:eastAsia="zh-CN"/>
        </w:rPr>
        <w:instrText>ADDIN CSL_CITATION {"citationItems":[{"id":"ITEM-1","itemData":{"ISSN":"2005-4238","abstract":"A learning style is a student's consistent way of acquiring knowledge while problem-solving is an essential skill for developing mathematical knowledge and reasoning. Studies reported that Malaysia's secondary school students' performance in solving algebraic problems was poor. Thus, this study aims to investigate the relationship between learning styles and achievement of solving algebraic problems among the lower secondary school students. For the purpose of this research, 373 lower secondary school students in the age range of 14 to 15, living in the Johor Bahru district, were randomly selected. A 12-item Kolb's learning style inventory was used to identify the students' learning styles, and a 6-item algebraic problem-solving test was used to measure the students' achievement of solving algebraic problem. The results show that the majority of the lower secondary school students preferred the assimilating and converging learning styles, and they obtained marks in the range of 70-84 percent for the algebraic problem-solving test. The study reveals a positive relationship between the students' learning styles and achievement of solving algebraic problems. Likewise, the analysis results of the correlation between learning styles and achievement of solving algebraic problems with respect to the control variable of gender also indicate a positive relationship. These findings may provide some useful ideas for the teachers to consider student-friendly learning styles in designing the lesson instructions so that the algebra teaching process as well as learning outcomes can be further improved.","author":[{"dropping-particle":"","family":"Ganesen","given":"Puvanah","non-dropping-particle":"","parse-names":false,"suffix":""},{"dropping-particle":"","family":"Osman","given":"Sharifah","non-dropping-particle":"","parse-names":false,"suffix":""},{"dropping-particle":"","family":"Abu","given":"Salleh","non-dropping-particle":"","parse-names":false,"suffix":""},{"dropping-particle":"","family":"Kumar","given":"Jeya Amantha","non-dropping-particle":"","parse-names":false,"suffix":""}],"container-title":"International Journal of Advanced Science and Technology","id":"ITEM-1","issue":"9S","issued":{"date-parts":[["2020"]]},"page":"2563-2574","title":"The Relationship Between Learning Styles and Achievement of Solving Algebraic Problems Among Lower Secondary School Students","type":"article-journal","volume":"29"},"uris":["http://www.mendeley.com/documents/?uuid=c956e6b5-e621-4f69-af9d-8d3749f7f263"]}],"mendeley":{"formattedCitation":"(Ganesen et al., 2020)"},"properties":{"noteIndex":0},"schema":"https://github.com/citation-style-language/schema/raw/master/csl-citation.json"}</w:instrText>
      </w:r>
      <w:r w:rsidRPr="00231C32">
        <w:rPr>
          <w:rFonts w:ascii="Bodoni MT" w:hAnsi="Bodoni MT"/>
          <w:spacing w:val="-2"/>
          <w:sz w:val="22"/>
          <w:lang w:val="en-ID" w:eastAsia="zh-CN"/>
        </w:rPr>
        <w:fldChar w:fldCharType="separate"/>
      </w:r>
      <w:r w:rsidR="009A2AD0" w:rsidRPr="009A2AD0">
        <w:rPr>
          <w:rFonts w:ascii="Bodoni MT" w:hAnsi="Bodoni MT"/>
          <w:noProof/>
          <w:spacing w:val="-2"/>
          <w:sz w:val="22"/>
          <w:lang w:val="en-ID" w:eastAsia="zh-CN"/>
        </w:rPr>
        <w:t>(Ganesen et al., 2020)</w:t>
      </w:r>
      <w:r w:rsidRPr="00231C32">
        <w:rPr>
          <w:rFonts w:ascii="Bodoni MT" w:hAnsi="Bodoni MT"/>
          <w:spacing w:val="-2"/>
          <w:sz w:val="22"/>
          <w:lang w:val="en-ID" w:eastAsia="zh-CN"/>
        </w:rPr>
        <w:fldChar w:fldCharType="end"/>
      </w:r>
      <w:r w:rsidRPr="00231C32">
        <w:rPr>
          <w:rFonts w:ascii="Bodoni MT" w:hAnsi="Bodoni MT"/>
          <w:spacing w:val="-2"/>
          <w:sz w:val="22"/>
          <w:lang w:val="en-ID" w:eastAsia="zh-CN"/>
        </w:rPr>
        <w:t xml:space="preserve">. Therefore, with an effective learning style, students can master math concepts more quickly and easily </w:t>
      </w:r>
      <w:r w:rsidRPr="00231C32">
        <w:rPr>
          <w:rFonts w:ascii="Bodoni MT" w:hAnsi="Bodoni MT"/>
          <w:spacing w:val="-2"/>
          <w:sz w:val="22"/>
          <w:lang w:val="en-ID" w:eastAsia="zh-CN"/>
        </w:rPr>
        <w:fldChar w:fldCharType="begin" w:fldLock="1"/>
      </w:r>
      <w:r w:rsidR="009A2AD0">
        <w:rPr>
          <w:rFonts w:ascii="Bodoni MT" w:hAnsi="Bodoni MT"/>
          <w:spacing w:val="-2"/>
          <w:sz w:val="22"/>
          <w:lang w:val="en-ID" w:eastAsia="zh-CN"/>
        </w:rPr>
        <w:instrText>ADDIN CSL_CITATION {"citationItems":[{"id":"ITEM-1","itemData":{"DOI":"10.29333/ejmste/109198","ISSN":"13058223","abstract":"This qualitative research study explored barriers that impinged on teachers’ use of their knowledge of students’ learning styles in teaching mathematics. It was a case study of three secondary schools in the Makoni District of Manicaland Province in Zimbabwe. Participants were fifteen mathematics teachers. Results revealed that the barriers were related to the teachers, the students, the curriculum and the socio-economic status of the schools. Collaborative teaching, formation of mathematics clubs, mobilisation of resources, use of excursions and in-servicing of teachers were recommended as ways of reducing the effects of the barriers.","author":[{"dropping-particle":"","family":"Mangwende","given":"Edmore","non-dropping-particle":"","parse-names":false,"suffix":""},{"dropping-particle":"","family":"Maharaj","given":"Aneshkumar","non-dropping-particle":"","parse-names":false,"suffix":""}],"container-title":"Eurasia Journal of Mathematics, Science and Technology Education","id":"ITEM-1","issue":"1","issued":{"date-parts":[["2020"]]},"page":"1-15","title":"Barriers to Mathematics Teachers’ Use of Their Knowledge of Students’ Learning Styles in Mathematics Teaching: A Case of Secondary Schools in Zimbabwe","type":"article-journal","volume":"16"},"uris":["http://www.mendeley.com/documents/?uuid=39d7dc9a-8f00-4e27-ada1-dabe10b962fd"]}],"mendeley":{"formattedCitation":"(Mangwende &amp; Maharaj, 2020)"},"properties":{"noteIndex":0},"schema":"https://github.com/citation-style-language/schema/raw/master/csl-citation.json"}</w:instrText>
      </w:r>
      <w:r w:rsidRPr="00231C32">
        <w:rPr>
          <w:rFonts w:ascii="Bodoni MT" w:hAnsi="Bodoni MT"/>
          <w:spacing w:val="-2"/>
          <w:sz w:val="22"/>
          <w:lang w:val="en-ID" w:eastAsia="zh-CN"/>
        </w:rPr>
        <w:fldChar w:fldCharType="separate"/>
      </w:r>
      <w:r w:rsidR="009A2AD0" w:rsidRPr="009A2AD0">
        <w:rPr>
          <w:rFonts w:ascii="Bodoni MT" w:hAnsi="Bodoni MT"/>
          <w:noProof/>
          <w:spacing w:val="-2"/>
          <w:sz w:val="22"/>
          <w:lang w:val="en-ID" w:eastAsia="zh-CN"/>
        </w:rPr>
        <w:t>(Mangwende &amp; Maharaj, 2020)</w:t>
      </w:r>
      <w:r w:rsidRPr="00231C32">
        <w:rPr>
          <w:rFonts w:ascii="Bodoni MT" w:hAnsi="Bodoni MT"/>
          <w:spacing w:val="-2"/>
          <w:sz w:val="22"/>
          <w:lang w:val="en-ID" w:eastAsia="zh-CN"/>
        </w:rPr>
        <w:fldChar w:fldCharType="end"/>
      </w:r>
    </w:p>
    <w:p w14:paraId="7C32D9DC" w14:textId="2E9AB3AF" w:rsidR="00231C32" w:rsidRDefault="00231C32" w:rsidP="00231C32">
      <w:pPr>
        <w:pStyle w:val="Alishlah31text"/>
        <w:rPr>
          <w:rFonts w:ascii="Bodoni MT" w:hAnsi="Bodoni MT"/>
          <w:spacing w:val="-2"/>
          <w:sz w:val="22"/>
          <w:lang w:val="en-ID" w:eastAsia="zh-CN"/>
        </w:rPr>
      </w:pPr>
      <w:r w:rsidRPr="00231C32">
        <w:rPr>
          <w:rFonts w:ascii="Bodoni MT" w:hAnsi="Bodoni MT"/>
          <w:spacing w:val="-2"/>
          <w:sz w:val="22"/>
          <w:lang w:val="en-ID" w:eastAsia="zh-CN"/>
        </w:rPr>
        <w:t xml:space="preserve">When students can understand mathematical concepts and content effectively, they can complete the tasks given by the teacher very well without procrastinating </w:t>
      </w:r>
      <w:r w:rsidRPr="00231C32">
        <w:rPr>
          <w:rFonts w:ascii="Bodoni MT" w:hAnsi="Bodoni MT"/>
          <w:spacing w:val="-2"/>
          <w:sz w:val="22"/>
          <w:lang w:val="en-ID" w:eastAsia="zh-CN"/>
        </w:rPr>
        <w:fldChar w:fldCharType="begin" w:fldLock="1"/>
      </w:r>
      <w:r w:rsidRPr="00231C32">
        <w:rPr>
          <w:rFonts w:ascii="Bodoni MT" w:hAnsi="Bodoni MT"/>
          <w:spacing w:val="-2"/>
          <w:sz w:val="22"/>
          <w:lang w:val="en-ID" w:eastAsia="zh-CN"/>
        </w:rPr>
        <w:instrText>ADDIN CSL_CITATION {"citationItems":[{"id":"ITEM-1","itemData":{"DOI":"10.1007/s10649-018-9873-9","ISSN":"15730816","abstract":"The act of explaining can help students to develop new understandings of mathematical ideas, construct rules for solving problems, become aware of misunderstandings or a lack of understanding and develop their mathematical communication. Their explanations can also offer opportunities for a teacher to understand more fully what the students are thinking. Yet, previous research has focused mainly on tasks, questions and other teacher actions that prompt student explanations and on generalising what counts as an explanation. Using a conversation analytic approach, transcripts of mathematics lessons from different schools and different teachers were analysed, looking specifically at the interactions where students gave explanations. This paper describes two interactional contexts where students gave explanations without being explicitly asked for one by the teacher. The structures and content of the interactions in which these student explanations occur reveal further ways in which teachers can encourage students to offer explanations beyond asking how or why questions. We suggest that awareness of the underlying structures of interactions is likely to leave the teacher better equipped to exploit such situations as they arise in their classrooms.","author":[{"dropping-particle":"","family":"Ingram","given":"Jenni","non-dropping-particle":"","parse-names":false,"suffix":""},{"dropping-particle":"","family":"Andrews","given":"Nick","non-dropping-particle":"","parse-names":false,"suffix":""},{"dropping-particle":"","family":"Pitt","given":"Andrea","non-dropping-particle":"","parse-names":false,"suffix":""}],"container-title":"Educational Studies in Mathematics","id":"ITEM-1","issue":"1","issued":{"date-parts":[["2019"]]},"page":"51-66","publisher":"Educational Studies in Mathematics","title":"When students offer explanations without the teacher explicitly asking them to","type":"article-journal","volume":"101"},"uris":["http://www.mendeley.com/documents/?uuid=5fceca2b-d437-4bac-bb90-42e4f767b63c"]}],"mendeley":{"formattedCitation":"(Ingram et al., 2019)","plainTextFormattedCitation":"(Ingram et al., 2019)","previouslyFormattedCitation":"(Ingram et al., 2019)"},"properties":{"noteIndex":0},"schema":"https://github.com/citation-style-language/schema/raw/master/csl-citation.json"}</w:instrText>
      </w:r>
      <w:r w:rsidRPr="00231C32">
        <w:rPr>
          <w:rFonts w:ascii="Bodoni MT" w:hAnsi="Bodoni MT"/>
          <w:spacing w:val="-2"/>
          <w:sz w:val="22"/>
          <w:lang w:val="en-ID" w:eastAsia="zh-CN"/>
        </w:rPr>
        <w:fldChar w:fldCharType="separate"/>
      </w:r>
      <w:r w:rsidRPr="00231C32">
        <w:rPr>
          <w:rFonts w:ascii="Bodoni MT" w:hAnsi="Bodoni MT"/>
          <w:noProof/>
          <w:spacing w:val="-2"/>
          <w:sz w:val="22"/>
          <w:lang w:val="en-ID" w:eastAsia="zh-CN"/>
        </w:rPr>
        <w:t>(Ingram et al., 2019)</w:t>
      </w:r>
      <w:r w:rsidRPr="00231C32">
        <w:rPr>
          <w:rFonts w:ascii="Bodoni MT" w:hAnsi="Bodoni MT"/>
          <w:spacing w:val="-2"/>
          <w:sz w:val="22"/>
          <w:lang w:val="en-ID" w:eastAsia="zh-CN"/>
        </w:rPr>
        <w:fldChar w:fldCharType="end"/>
      </w:r>
      <w:r w:rsidRPr="00231C32">
        <w:rPr>
          <w:rFonts w:ascii="Bodoni MT" w:hAnsi="Bodoni MT"/>
          <w:spacing w:val="-2"/>
          <w:sz w:val="22"/>
          <w:lang w:val="en-ID" w:eastAsia="zh-CN"/>
        </w:rPr>
        <w:t xml:space="preserve">. However, due to a lack of mathematical understanding, students are not interested in math tasks. Therefore, they cannot re-explain concepts or apply them to solve math problems </w:t>
      </w:r>
      <w:r w:rsidRPr="00231C32">
        <w:rPr>
          <w:rFonts w:ascii="Bodoni MT" w:hAnsi="Bodoni MT"/>
          <w:spacing w:val="-2"/>
          <w:sz w:val="22"/>
          <w:lang w:val="en-ID" w:eastAsia="zh-CN"/>
        </w:rPr>
        <w:fldChar w:fldCharType="begin" w:fldLock="1"/>
      </w:r>
      <w:r w:rsidRPr="00231C32">
        <w:rPr>
          <w:rFonts w:ascii="Bodoni MT" w:hAnsi="Bodoni MT"/>
          <w:spacing w:val="-2"/>
          <w:sz w:val="22"/>
          <w:lang w:val="en-ID" w:eastAsia="zh-CN"/>
        </w:rPr>
        <w:instrText>ADDIN CSL_CITATION {"citationItems":[{"id":"ITEM-1","itemData":{"ISSN":"1990-3839","abstract":"The paper examined the possibility of finding out if improvements in students' problem solving performance in simultaneous linear equation will be recorded with the use of procedural and conceptual learning strategies and in addition to find out which of the strategies will be more effective. The study adopted a pretest, post test control group design. A total of 166 science students drawn from four schools in four local government Areas in Osun state of southwestern Nigeria were involved in the study. The students were in Senior Secondary Class Two. These students were assigned to four groups of Conceptual Learning Strategy (CLS), Procedural Learning Strategy (PLS) and Conventional Method (CM) while the fourth group was not taught at all. The first two groups were the experimental groups and the control groups were the last two groups. Treatment was administered for a period of eight weeks. A mathematical achievement test was used as pretest and posttest after validation and was found to have reliability coefficient of 0.76 and item difficulty level ranging between 0.42 and 0.46. Three mathematics teachers who were university graduates were engaged to administer the treatment. The study recorded a significant difference between the problem-solving performance of students in the CLS group and those in the CM group (X 1 =30.71, X 2 = 15.66, df =78, t = 16.56, p&lt;0.05).Significant difference in performance was also recorded between PLS group and CM group (X 1 = 24.07, X 2 = 15.66, df =80, t = 10.95, p&lt;0.05). Likewise performance of students in CLS group and those in PLS group differed significantly (X 1 =30.71, X 2 = 24.07, df = 84, t = 7.98, p&lt; 0.05). The study therefore concluded that both CLS and PLS were effective in enhancing students problem-solving performance and that conceptual learning strategy was more effective.","author":[{"dropping-particle":"","family":"Adeleke","given":"M. A","non-dropping-particle":"","parse-names":false,"suffix":""}],"container-title":"Educational Research and Review","id":"ITEM-1","issue":"9","issued":{"date-parts":[["2007"]]},"page":"259-263","title":"Strategic improvement of mathematical problem-solving performance of secondary school students using procedural and conceptual learning strategies","type":"article-journal","volume":"2"},"uris":["http://www.mendeley.com/documents/?uuid=bfb92a33-310c-40fd-9450-5f589e3a65df"]}],"mendeley":{"formattedCitation":"(Adeleke, 2007)","plainTextFormattedCitation":"(Adeleke, 2007)","previouslyFormattedCitation":"(Adeleke, 2007)"},"properties":{"noteIndex":0},"schema":"https://github.com/citation-style-language/schema/raw/master/csl-citation.json"}</w:instrText>
      </w:r>
      <w:r w:rsidRPr="00231C32">
        <w:rPr>
          <w:rFonts w:ascii="Bodoni MT" w:hAnsi="Bodoni MT"/>
          <w:spacing w:val="-2"/>
          <w:sz w:val="22"/>
          <w:lang w:val="en-ID" w:eastAsia="zh-CN"/>
        </w:rPr>
        <w:fldChar w:fldCharType="separate"/>
      </w:r>
      <w:r w:rsidRPr="00231C32">
        <w:rPr>
          <w:rFonts w:ascii="Bodoni MT" w:hAnsi="Bodoni MT"/>
          <w:noProof/>
          <w:spacing w:val="-2"/>
          <w:sz w:val="22"/>
          <w:lang w:val="en-ID" w:eastAsia="zh-CN"/>
        </w:rPr>
        <w:t>(Adeleke, 2007)</w:t>
      </w:r>
      <w:r w:rsidRPr="00231C32">
        <w:rPr>
          <w:rFonts w:ascii="Bodoni MT" w:hAnsi="Bodoni MT"/>
          <w:spacing w:val="-2"/>
          <w:sz w:val="22"/>
          <w:lang w:val="en-ID" w:eastAsia="zh-CN"/>
        </w:rPr>
        <w:fldChar w:fldCharType="end"/>
      </w:r>
      <w:r w:rsidRPr="00231C32">
        <w:rPr>
          <w:rFonts w:ascii="Bodoni MT" w:hAnsi="Bodoni MT"/>
          <w:spacing w:val="-2"/>
          <w:sz w:val="22"/>
          <w:lang w:val="en-ID" w:eastAsia="zh-CN"/>
        </w:rPr>
        <w:t xml:space="preserve">. Students also need help connecting newly learned mathematical concepts with other mathematical concepts </w:t>
      </w:r>
      <w:r w:rsidRPr="00231C32">
        <w:rPr>
          <w:rFonts w:ascii="Bodoni MT" w:hAnsi="Bodoni MT"/>
          <w:spacing w:val="-2"/>
          <w:sz w:val="22"/>
          <w:lang w:val="en-ID" w:eastAsia="zh-CN"/>
        </w:rPr>
        <w:fldChar w:fldCharType="begin" w:fldLock="1"/>
      </w:r>
      <w:r w:rsidRPr="00231C32">
        <w:rPr>
          <w:rFonts w:ascii="Bodoni MT" w:hAnsi="Bodoni MT"/>
          <w:spacing w:val="-2"/>
          <w:sz w:val="22"/>
          <w:lang w:val="en-ID" w:eastAsia="zh-CN"/>
        </w:rPr>
        <w:instrText>ADDIN CSL_CITATION {"citationItems":[{"id":"ITEM-1","itemData":{"DOI":"10.12973/ejmste/77902","ISSN":"13058223","abstract":"This study explored problem-solving in middle school, focusing on how students use tools to solve problems when working on mathematical tasks. The Problem-solving Assessment, Diagnosis, and Remedial Instruction (PSADRI) system was designed and developed as an individual teaching tool to support mathematics education, foster students' ability to solve problems. A quasi-experimental design was conducted during five weeks. The 153 students who participated in this experiment were divided into an experimental group (86 students who used the PSADRI system) and a control group (67 students who received traditional instruction). The results revealed that the students who used the PSADRI system achieved greater learning performances in mathematics and improved problem-solving ability compared with the students who received traditional instruction. Using the question-guided training function in the system, the students in the experimental group used the drill-and-practice strategy to solve math problems step by step to achieve mastery in mathematics learning. Moreover, the students' learning performance in the experimental group was enhanced and their problem-solving ability was improved. The major contributions of this study were the improvement in middle school students' academic achievement in mathematics and problem-solving ability and enhanced interest in mathematics learning via the PSADRI system, an individual teaching system.","author":[{"dropping-particle":"","family":"Hsiao","given":"Hsien Sheng","non-dropping-particle":"","parse-names":false,"suffix":""},{"dropping-particle":"","family":"Lin","given":"Chien Yu","non-dropping-particle":"","parse-names":false,"suffix":""},{"dropping-particle":"","family":"Chen","given":"Jyun Chen","non-dropping-particle":"","parse-names":false,"suffix":""},{"dropping-particle":"","family":"Peng","given":"Yi Fang","non-dropping-particle":"","parse-names":false,"suffix":""}],"container-title":"Eurasia Journal of Mathematics, Science and Technology Education","id":"ITEM-1","issue":"1","issued":{"date-parts":[["2018"]]},"page":"77-93","title":"The influence of a mathematics problem-solving training system on first-year middle school students","type":"article-journal","volume":"14"},"uris":["http://www.mendeley.com/documents/?uuid=c341fb0b-3b93-4b0f-b0a0-cb5fd8b24fe4"]}],"mendeley":{"formattedCitation":"(Hsiao et al., 2018)","plainTextFormattedCitation":"(Hsiao et al., 2018)","previouslyFormattedCitation":"(Hsiao et al., 2018)"},"properties":{"noteIndex":0},"schema":"https://github.com/citation-style-language/schema/raw/master/csl-citation.json"}</w:instrText>
      </w:r>
      <w:r w:rsidRPr="00231C32">
        <w:rPr>
          <w:rFonts w:ascii="Bodoni MT" w:hAnsi="Bodoni MT"/>
          <w:spacing w:val="-2"/>
          <w:sz w:val="22"/>
          <w:lang w:val="en-ID" w:eastAsia="zh-CN"/>
        </w:rPr>
        <w:fldChar w:fldCharType="separate"/>
      </w:r>
      <w:r w:rsidRPr="00231C32">
        <w:rPr>
          <w:rFonts w:ascii="Bodoni MT" w:hAnsi="Bodoni MT"/>
          <w:noProof/>
          <w:spacing w:val="-2"/>
          <w:sz w:val="22"/>
          <w:lang w:val="en-ID" w:eastAsia="zh-CN"/>
        </w:rPr>
        <w:t>(Hsiao et al., 2018)</w:t>
      </w:r>
      <w:r w:rsidRPr="00231C32">
        <w:rPr>
          <w:rFonts w:ascii="Bodoni MT" w:hAnsi="Bodoni MT"/>
          <w:spacing w:val="-2"/>
          <w:sz w:val="22"/>
          <w:lang w:val="en-ID" w:eastAsia="zh-CN"/>
        </w:rPr>
        <w:fldChar w:fldCharType="end"/>
      </w:r>
      <w:r w:rsidRPr="00231C32">
        <w:rPr>
          <w:rFonts w:ascii="Bodoni MT" w:hAnsi="Bodoni MT"/>
          <w:spacing w:val="-2"/>
          <w:sz w:val="22"/>
          <w:lang w:val="en-ID" w:eastAsia="zh-CN"/>
        </w:rPr>
        <w:t xml:space="preserve">. Most students only memorize formulas and steps for solving mathematical problems without understanding them. This causes students to need help solving math problems or exercises </w:t>
      </w:r>
      <w:r w:rsidRPr="00231C32">
        <w:rPr>
          <w:rFonts w:ascii="Bodoni MT" w:hAnsi="Bodoni MT"/>
          <w:spacing w:val="-2"/>
          <w:sz w:val="22"/>
          <w:lang w:val="en-ID" w:eastAsia="zh-CN"/>
        </w:rPr>
        <w:fldChar w:fldCharType="begin" w:fldLock="1"/>
      </w:r>
      <w:r w:rsidR="009A2AD0">
        <w:rPr>
          <w:rFonts w:ascii="Bodoni MT" w:hAnsi="Bodoni MT"/>
          <w:spacing w:val="-2"/>
          <w:sz w:val="22"/>
          <w:lang w:val="en-ID" w:eastAsia="zh-CN"/>
        </w:rPr>
        <w:instrText>ADDIN CSL_CITATION {"citationItems":[{"id":"ITEM-1","itemData":{"ISSN":"18376290","abstract":"Successful integration of problem-solving in mathematics classrooms lies mostly with the assistance and support teachers get. Many studies have been conducted on the strategies teachers can use to integrate problem-solving in their teaching of mathematics, however, few studies have been conducted on frameworks/models that can assist teachers and students to integrate problem solving in mathematics. There is a need for the development of framework(s) that focus on helping teachers and students with problem-solving in classroom activities and practices. The study reported here was undertaken to explore teachers’ viewpoints on the classroom practices that help develop learners’ problem-solving skills in mathematics, with the purpose of developing a framework that can be used in the integration of problem-solving activities in mathematics classroom teaching. A qualitative case study that involved five secondary school teachers was undertaken in the Maseru district, Lesotho. Data were generated through an open-ended questionnaire, semi-structured interviews, and lesson observations and were analysed using thematic analysis. The findings revealed that the teachers possess relevant information about problem solving, but are challenged in integrating related practices and activities in their teaching. The amount of time available during mathematics lessons and the use of real-world problems were found to be among the most difficult issues. Most importantly, the findings provided useful information that helped in developing a framework that mathematics teachers could use to integrate problem-solving in their classroom activities.","author":[{"dropping-particle":"","family":"Malepa-Qhobela","given":"Mamathe","non-dropping-particle":"","parse-names":false,"suffix":""},{"dropping-particle":"","family":"Mosimege","given":"Mogege","non-dropping-particle":"","parse-names":false,"suffix":""}],"container-title":"Issues in Educational Research","id":"ITEM-1","issue":"4","issued":{"date-parts":[["2022"]]},"page":"1486-1508","title":"A framework to assist mathematics teachers in integrating problem solving in secondary school classrooms","type":"article-journal","volume":"32"},"uris":["http://www.mendeley.com/documents/?uuid=27be69a2-6a1d-4c95-9be4-351ad6d300d8"]}],"mendeley":{"formattedCitation":"(Malepa-Qhobela &amp; Mosimege, 2022)"},"properties":{"noteIndex":0},"schema":"https://github.com/citation-style-language/schema/raw/master/csl-citation.json"}</w:instrText>
      </w:r>
      <w:r w:rsidRPr="00231C32">
        <w:rPr>
          <w:rFonts w:ascii="Bodoni MT" w:hAnsi="Bodoni MT"/>
          <w:spacing w:val="-2"/>
          <w:sz w:val="22"/>
          <w:lang w:val="en-ID" w:eastAsia="zh-CN"/>
        </w:rPr>
        <w:fldChar w:fldCharType="separate"/>
      </w:r>
      <w:r w:rsidR="009A2AD0" w:rsidRPr="009A2AD0">
        <w:rPr>
          <w:rFonts w:ascii="Bodoni MT" w:hAnsi="Bodoni MT"/>
          <w:noProof/>
          <w:spacing w:val="-2"/>
          <w:sz w:val="22"/>
          <w:lang w:val="en-ID" w:eastAsia="zh-CN"/>
        </w:rPr>
        <w:t>(Malepa-Qhobela &amp; Mosimege, 2022)</w:t>
      </w:r>
      <w:r w:rsidRPr="00231C32">
        <w:rPr>
          <w:rFonts w:ascii="Bodoni MT" w:hAnsi="Bodoni MT"/>
          <w:spacing w:val="-2"/>
          <w:sz w:val="22"/>
          <w:lang w:val="en-ID" w:eastAsia="zh-CN"/>
        </w:rPr>
        <w:fldChar w:fldCharType="end"/>
      </w:r>
      <w:r w:rsidRPr="00231C32">
        <w:rPr>
          <w:rFonts w:ascii="Bodoni MT" w:hAnsi="Bodoni MT"/>
          <w:spacing w:val="-2"/>
          <w:sz w:val="22"/>
          <w:lang w:val="en-ID" w:eastAsia="zh-CN"/>
        </w:rPr>
        <w:t xml:space="preserve"> Therefore, the right learning style can create a positive atmosphere when learning math </w:t>
      </w:r>
      <w:r w:rsidRPr="00231C32">
        <w:rPr>
          <w:rFonts w:ascii="Bodoni MT" w:hAnsi="Bodoni MT"/>
          <w:spacing w:val="-2"/>
          <w:sz w:val="22"/>
          <w:lang w:val="en-ID" w:eastAsia="zh-CN"/>
        </w:rPr>
        <w:fldChar w:fldCharType="begin" w:fldLock="1"/>
      </w:r>
      <w:r w:rsidRPr="00231C32">
        <w:rPr>
          <w:rFonts w:ascii="Bodoni MT" w:hAnsi="Bodoni MT"/>
          <w:spacing w:val="-2"/>
          <w:sz w:val="22"/>
          <w:lang w:val="en-ID" w:eastAsia="zh-CN"/>
        </w:rPr>
        <w:instrText>ADDIN CSL_CITATION {"citationItems":[{"id":"ITEM-1","itemData":{"DOI":"10.1371/journal.pone.0251545","ISBN":"1111111111","ISSN":"19326203","PMID":"34014963","abstract":"Learning styles are critical to educational psychology, especially when investigating various contextual factors that interact with individual learning styles. Drawing upon Biglan's taxonomy of academic tribes, this study systematically analyzed the learning styles of 790 sophomores in a blended learning course with 46 specializations using a novel machine learning algorithm called the support vector machine (SVM). Moreover, an SVM-based recursive feature elimination (SVM-RFE) technique was integrated to identify the differential features among distinct disciplines. The findings of this study shed light on the optimal feature sets that collectively determined students' discipline-specific learning styles in a college blended learning setting.","author":[{"dropping-particle":"","family":"Hu","given":"Jie","non-dropping-particle":"","parse-names":false,"suffix":""},{"dropping-particle":"","family":"Peng","given":"Yi","non-dropping-particle":"","parse-names":false,"suffix":""},{"dropping-particle":"","family":"Chen","given":"Xueliang","non-dropping-particle":"","parse-names":false,"suffix":""},{"dropping-particle":"","family":"Yu","given":"Hangyan","non-dropping-particle":"","parse-names":false,"suffix":""}],"container-title":"PLoS ONE","id":"ITEM-1","issue":"5","issued":{"date-parts":[["2021"]]},"page":"1-26","title":"Differentiating the learning styles of college students in different disciplines in a college English blended learning setting","type":"article-journal","volume":"16"},"uris":["http://www.mendeley.com/documents/?uuid=28f16f04-2119-46bf-8fb4-683f1699d23c"]}],"mendeley":{"formattedCitation":"(Hu et al., 2021)","plainTextFormattedCitation":"(Hu et al., 2021)","previouslyFormattedCitation":"(Hu et al., 2021)"},"properties":{"noteIndex":0},"schema":"https://github.com/citation-style-language/schema/raw/master/csl-citation.json"}</w:instrText>
      </w:r>
      <w:r w:rsidRPr="00231C32">
        <w:rPr>
          <w:rFonts w:ascii="Bodoni MT" w:hAnsi="Bodoni MT"/>
          <w:spacing w:val="-2"/>
          <w:sz w:val="22"/>
          <w:lang w:val="en-ID" w:eastAsia="zh-CN"/>
        </w:rPr>
        <w:fldChar w:fldCharType="separate"/>
      </w:r>
      <w:r w:rsidRPr="00231C32">
        <w:rPr>
          <w:rFonts w:ascii="Bodoni MT" w:hAnsi="Bodoni MT"/>
          <w:noProof/>
          <w:spacing w:val="-2"/>
          <w:sz w:val="22"/>
          <w:lang w:val="en-ID" w:eastAsia="zh-CN"/>
        </w:rPr>
        <w:t>(Hu et al., 2021)</w:t>
      </w:r>
      <w:r w:rsidRPr="00231C32">
        <w:rPr>
          <w:rFonts w:ascii="Bodoni MT" w:hAnsi="Bodoni MT"/>
          <w:spacing w:val="-2"/>
          <w:sz w:val="22"/>
          <w:lang w:val="en-ID" w:eastAsia="zh-CN"/>
        </w:rPr>
        <w:fldChar w:fldCharType="end"/>
      </w:r>
      <w:r w:rsidRPr="00231C32">
        <w:rPr>
          <w:rFonts w:ascii="Bodoni MT" w:hAnsi="Bodoni MT"/>
          <w:spacing w:val="-2"/>
          <w:sz w:val="22"/>
          <w:lang w:val="en-ID" w:eastAsia="zh-CN"/>
        </w:rPr>
        <w:t xml:space="preserve"> and further reduce students' tendency to engage in academic procrastination in mathematics </w:t>
      </w:r>
      <w:r w:rsidRPr="00231C32">
        <w:rPr>
          <w:rFonts w:ascii="Bodoni MT" w:hAnsi="Bodoni MT"/>
          <w:spacing w:val="-2"/>
          <w:sz w:val="22"/>
          <w:lang w:val="en-ID" w:eastAsia="zh-CN"/>
        </w:rPr>
        <w:fldChar w:fldCharType="begin" w:fldLock="1"/>
      </w:r>
      <w:r w:rsidR="009A2AD0">
        <w:rPr>
          <w:rFonts w:ascii="Bodoni MT" w:hAnsi="Bodoni MT"/>
          <w:spacing w:val="-2"/>
          <w:sz w:val="22"/>
          <w:lang w:val="en-ID" w:eastAsia="zh-CN"/>
        </w:rPr>
        <w:instrText>ADDIN CSL_CITATION {"citationItems":[{"id":"ITEM-1","itemData":{"DOI":"10.21449/ijate.1121828","abstract":"The aim of this study is to investigate the effect of positive error climate in classrooms on middle school students' error orientations and attitudes towards mathematics. The data of the research were collected in the 2021-2022 academic year. The participants of the study consisted of 44 students in two 6th grade classes in a middle school in the city of Van, Türkiye. Quasi-experimental design was used in the research and the pre and post scores of the experimental and comparison groups were compared before and after the study. The data obtained using the \"Mathematics Attitude Scale\" and the \"Error Climate Scale\" were analyzed to examine the differences within and between groups. As a result of the findings, it was seen that the positive error climate in the experimental group made a positive significant difference both on the attitude towards mathematics and on error orientations of the students. No significant change was observed at the end of the study in the comparison group in which a neutral error climate was applied. The interviews with the course teacher who carried out the application and the observations made in the classroom reinforced the positive effect of the application. Positive error climate can be seen as a part of formative assessment as it has a corrective effect on teaching in the process.The aim of this study is to investigate the effect of positive error climate in classrooms on middle school students' error orientations and attitudes towards mathematics. The data of the research were collected in the 2021-2022 academic year. The participants of the study consisted of 44 students in two 6th grade classes in a middle school in the city of Van, Türkiye. Quasi-experimental design was used in the research and the pre and post scores of the experimental and comparison groups were compared before and after the study. The data obtained using the \"Mathematics Attitude Scale\" and the \"Error Climate Scale\" were analyzed to examine the differences within and between groups. As a result of the findings, it was seen that the positive error climate in the experimental group made a positive significant difference both on the attitude towards mathematics and on error orientations of the students. No significant change was observed at the end of the study in the comparison group in which a neutral error climate was applied. The interviews with the course teacher who carried out the application and the observations made in the classroom reinforced…","author":[{"dropping-particle":"","family":"ÖZKAYA","given":"Merve","non-dropping-particle":"","parse-names":false,"suffix":""},{"dropping-particle":"","family":"KALAÇ","given":"Senem","non-dropping-particle":"","parse-names":false,"suffix":""},{"dropping-particle":"","family":"KONYALIO</w:instrText>
      </w:r>
      <w:r w:rsidR="009A2AD0">
        <w:rPr>
          <w:rFonts w:ascii="Times New Roman" w:hAnsi="Times New Roman"/>
          <w:spacing w:val="-2"/>
          <w:sz w:val="22"/>
          <w:lang w:val="en-ID" w:eastAsia="zh-CN"/>
        </w:rPr>
        <w:instrText>Ğ</w:instrText>
      </w:r>
      <w:r w:rsidR="009A2AD0">
        <w:rPr>
          <w:rFonts w:ascii="Bodoni MT" w:hAnsi="Bodoni MT"/>
          <w:spacing w:val="-2"/>
          <w:sz w:val="22"/>
          <w:lang w:val="en-ID" w:eastAsia="zh-CN"/>
        </w:rPr>
        <w:instrText>LU","given":"Alper Cihan","non-dropping-particle":"","parse-names":false,"suffix":""}],"container-title":"International Journal of Assessment Tools in Education","id":"ITEM-1","issue":"Special Issue","issued":{"date-parts":[["2022"]]},"page":"236-257","title":"The effect of positive error climate on affective domains in mathematics teaching","type":"article-journal","volume":"9"},"uris":["http://www.mendeley.com/documents/?uuid=19f574a8-e93c-4aaa-9aed-fc943129af64"]}],"mendeley":{"formattedCitation":"(ÖZKAYA et al., 2022)"},"properties":{"noteIndex":0},"schema":"https://github.com/citation-style-language/schema/raw/master/csl-citation.json"}</w:instrText>
      </w:r>
      <w:r w:rsidRPr="00231C32">
        <w:rPr>
          <w:rFonts w:ascii="Bodoni MT" w:hAnsi="Bodoni MT"/>
          <w:spacing w:val="-2"/>
          <w:sz w:val="22"/>
          <w:lang w:val="en-ID" w:eastAsia="zh-CN"/>
        </w:rPr>
        <w:fldChar w:fldCharType="separate"/>
      </w:r>
      <w:r w:rsidR="009A2AD0" w:rsidRPr="009A2AD0">
        <w:rPr>
          <w:rFonts w:ascii="Bodoni MT" w:hAnsi="Bodoni MT"/>
          <w:noProof/>
          <w:spacing w:val="-2"/>
          <w:sz w:val="22"/>
          <w:lang w:val="en-ID" w:eastAsia="zh-CN"/>
        </w:rPr>
        <w:t>(ÖZKAYA et al., 2022)</w:t>
      </w:r>
      <w:r w:rsidRPr="00231C32">
        <w:rPr>
          <w:rFonts w:ascii="Bodoni MT" w:hAnsi="Bodoni MT"/>
          <w:spacing w:val="-2"/>
          <w:sz w:val="22"/>
          <w:lang w:val="en-ID" w:eastAsia="zh-CN"/>
        </w:rPr>
        <w:fldChar w:fldCharType="end"/>
      </w:r>
      <w:r w:rsidRPr="00231C32">
        <w:rPr>
          <w:rFonts w:ascii="Bodoni MT" w:hAnsi="Bodoni MT"/>
          <w:spacing w:val="-2"/>
          <w:sz w:val="22"/>
          <w:lang w:val="en-ID" w:eastAsia="zh-CN"/>
        </w:rPr>
        <w:t xml:space="preserve"> </w:t>
      </w:r>
    </w:p>
    <w:p w14:paraId="29393B70" w14:textId="0993EBFB" w:rsidR="00231C32" w:rsidRDefault="00231C32" w:rsidP="00231C32">
      <w:pPr>
        <w:pStyle w:val="Alishlah31text"/>
        <w:rPr>
          <w:rFonts w:ascii="Bodoni MT" w:hAnsi="Bodoni MT"/>
          <w:spacing w:val="-2"/>
          <w:sz w:val="22"/>
          <w:lang w:val="en-ID" w:eastAsia="zh-CN"/>
        </w:rPr>
      </w:pPr>
      <w:r w:rsidRPr="00231C32">
        <w:rPr>
          <w:rFonts w:ascii="Bodoni MT" w:hAnsi="Bodoni MT"/>
          <w:spacing w:val="-2"/>
          <w:sz w:val="22"/>
          <w:lang w:val="en-ID" w:eastAsia="zh-CN"/>
        </w:rPr>
        <w:t xml:space="preserve">In a study on academic procrastination involving students in Indonesia, late submission of Math assignments was most prominent (44%), followed by Physics (31%) and other subjects (28%) </w:t>
      </w:r>
      <w:r w:rsidRPr="00231C32">
        <w:rPr>
          <w:rFonts w:ascii="Bodoni MT" w:hAnsi="Bodoni MT"/>
          <w:spacing w:val="-2"/>
          <w:sz w:val="22"/>
          <w:lang w:val="en-ID" w:eastAsia="zh-CN"/>
        </w:rPr>
        <w:fldChar w:fldCharType="begin" w:fldLock="1"/>
      </w:r>
      <w:r w:rsidRPr="00231C32">
        <w:rPr>
          <w:rFonts w:ascii="Bodoni MT" w:hAnsi="Bodoni MT"/>
          <w:spacing w:val="-2"/>
          <w:sz w:val="22"/>
          <w:lang w:val="en-ID" w:eastAsia="zh-CN"/>
        </w:rPr>
        <w:instrText>ADDIN CSL_CITATION {"citationItems":[{"id":"ITEM-1","itemData":{"DOI":"10.12928/psikopedagogia.v9i1.17907","ISSN":"2301-6167","abstract":"This study aims to obtain a comprehensive view of academic procrastination committed by student in terms of cognitive, affective, and behavior. This study used a survey research method. The population of this research is high chool students in East Java and the research sample is 200 students spread over Malang, Blitar, Bangkalan, and Lamongan. The sampling technique used cluster random sampling and the data were analyzed using descriptive statistics. The result showed that the cognitive, affective, and psychomotor descriptions of students’ academic procrastination were found. Counselors can use the findings of this study as the basis for developing BK services, especially in designing intervention strategies to reduce academic procrastination of high school students. Kata kunci: academic procrastination, survey, descriptive","author":[{"dropping-particle":"","family":"Setiyowati","given":"Arbin Janu","non-dropping-particle":"","parse-names":false,"suffix":""},{"dropping-particle":"","family":"Triyono","given":"Triyono","non-dropping-particle":"","parse-names":false,"suffix":""},{"dropping-particle":"","family":"Rachmawati","given":"Indriyana","non-dropping-particle":"","parse-names":false,"suffix":""},{"dropping-particle":"","family":"Hidayati","given":"Nurul","non-dropping-particle":"","parse-names":false,"suffix":""}],"container-title":"PSIKOPEDAGOGIA Jurnal Bimbingan dan Konseling","id":"ITEM-1","issue":"1","issued":{"date-parts":[["2020"]]},"page":"46-52","title":"Academic Procrastination of High School Students in East Java","type":"article-journal","volume":"9"},"uris":["http://www.mendeley.com/documents/?uuid=1052c6a4-f988-4d1e-9cbb-17d922c98086"]}],"mendeley":{"formattedCitation":"(Setiyowati et al., 2020)","plainTextFormattedCitation":"(Setiyowati et al., 2020)","previouslyFormattedCitation":"(Setiyowati et al., 2020)"},"properties":{"noteIndex":0},"schema":"https://github.com/citation-style-language/schema/raw/master/csl-citation.json"}</w:instrText>
      </w:r>
      <w:r w:rsidRPr="00231C32">
        <w:rPr>
          <w:rFonts w:ascii="Bodoni MT" w:hAnsi="Bodoni MT"/>
          <w:spacing w:val="-2"/>
          <w:sz w:val="22"/>
          <w:lang w:val="en-ID" w:eastAsia="zh-CN"/>
        </w:rPr>
        <w:fldChar w:fldCharType="separate"/>
      </w:r>
      <w:r w:rsidRPr="00231C32">
        <w:rPr>
          <w:rFonts w:ascii="Bodoni MT" w:hAnsi="Bodoni MT"/>
          <w:noProof/>
          <w:spacing w:val="-2"/>
          <w:sz w:val="22"/>
          <w:lang w:val="en-ID" w:eastAsia="zh-CN"/>
        </w:rPr>
        <w:t>(Setiyowati et al., 2020)</w:t>
      </w:r>
      <w:r w:rsidRPr="00231C32">
        <w:rPr>
          <w:rFonts w:ascii="Bodoni MT" w:hAnsi="Bodoni MT"/>
          <w:spacing w:val="-2"/>
          <w:sz w:val="22"/>
          <w:lang w:val="en-ID" w:eastAsia="zh-CN"/>
        </w:rPr>
        <w:fldChar w:fldCharType="end"/>
      </w:r>
      <w:r w:rsidRPr="00231C32">
        <w:rPr>
          <w:rFonts w:ascii="Bodoni MT" w:hAnsi="Bodoni MT"/>
          <w:spacing w:val="-2"/>
          <w:sz w:val="22"/>
          <w:lang w:val="en-ID" w:eastAsia="zh-CN"/>
        </w:rPr>
        <w:t xml:space="preserve">. Mathematics education in Malaysia involves a lot of practice to strengthen students' understanding of mathematical concepts </w:t>
      </w:r>
      <w:r w:rsidRPr="00231C32">
        <w:rPr>
          <w:rFonts w:ascii="Bodoni MT" w:hAnsi="Bodoni MT"/>
          <w:spacing w:val="-2"/>
          <w:sz w:val="22"/>
          <w:lang w:val="en-ID" w:eastAsia="zh-CN"/>
        </w:rPr>
        <w:fldChar w:fldCharType="begin" w:fldLock="1"/>
      </w:r>
      <w:r w:rsidR="009A2AD0">
        <w:rPr>
          <w:rFonts w:ascii="Bodoni MT" w:hAnsi="Bodoni MT"/>
          <w:spacing w:val="-2"/>
          <w:sz w:val="22"/>
          <w:lang w:val="en-ID" w:eastAsia="zh-CN"/>
        </w:rPr>
        <w:instrText>ADDIN CSL_CITATION {"citationItems":[{"id":"ITEM-1","itemData":{"DOI":"10.32890/mjli2021.18.2.5","ISSN":"21802483","abstract":"Purpose - The Malaysian government has allocated a large budget for Orang Asli primary school education via the Department of Orang Asli Development (JAKOA) to help improve the Orang Asli pupils' academic performance and in, Mathematics as well. Teachers face challenges in ensuring that Orang Asli pupils become competent learners of mathematics. Hence, there is a need to explore the teachers' perspectives on the teaching and learning of Mathematics in the Orang Asli schools. This study examined the teachers' perspectives on the issues and challenges of the teaching and learning of mathematics for the Orang Asli primary school pupils in Malaysia. Methodology - In this qualitative study, two Orang Asli primary schools were randomly selected from eight primary schools within an Orang Asli Settlement in the District of Sungai Siput. The data were collected via focus group discussions and interviews, which were carried out during the enculturation visits and were fully transcribed and thematically analysed. The research participants were purposively selected and comprised the school's administrators and mathematics teachers. Findings - The results of the data analysis show that there are two main themes, namely classroom challenges and school challenges, in determining mathematics competence among Orang Asli pupils. Classroom challenges consists of five sub-themes namely coverage of Mathematics syllabus, Mathematics teaching and learning resources, pupil engagement, language barrier, and Mathematics learning culture. School challenges consists of two sub-themes namely school attendance and discipline. To enhance mathematics competence among Orang Asli pupils, it is deemed important to implement programmes and community engagement. Significance - This study contributes towards the knowledge of teaching and learning of Mathematics for Orang Asli pupils. Teachers are recommended to allow Orang Asli pupils to take home their mathematics textbooks so that they can complete their homework at home. Teachers are highly recommended to conduct mathematics teaching and learning activities in groups for meaningful and engaging lessons.","author":[{"dropping-particle":"","family":"Md-Ali","given":"Ruzlan","non-dropping-particle":"","parse-names":false,"suffix":""},{"dropping-particle":"","family":"Veloo","given":"Arsaythamby","non-dropping-particle":"","parse-names":false,"suffix":""}],"container-title":"Malaysian Journal of Learning and Instruction","id":"ITEM-1","issue":"2","issued":{"date-parts":[["2021"]]},"page":"129-160","title":"the Issues and Challenges of Mathematics Teaching and Learning in Malaysia Orang Asli Primary Schools From Teachers' Perspectives","type":"article-journal","volume":"18"},"uris":["http://www.mendeley.com/documents/?uuid=369e8be4-8f7e-4166-86df-c64b3d8cfc34"]}],"mendeley":{"formattedCitation":"(Md-Ali &amp; Veloo, 2021)"},"properties":{"noteIndex":0},"schema":"https://github.com/citation-style-language/schema/raw/master/csl-citation.json"}</w:instrText>
      </w:r>
      <w:r w:rsidRPr="00231C32">
        <w:rPr>
          <w:rFonts w:ascii="Bodoni MT" w:hAnsi="Bodoni MT"/>
          <w:spacing w:val="-2"/>
          <w:sz w:val="22"/>
          <w:lang w:val="en-ID" w:eastAsia="zh-CN"/>
        </w:rPr>
        <w:fldChar w:fldCharType="separate"/>
      </w:r>
      <w:r w:rsidR="009A2AD0" w:rsidRPr="009A2AD0">
        <w:rPr>
          <w:rFonts w:ascii="Bodoni MT" w:hAnsi="Bodoni MT"/>
          <w:noProof/>
          <w:spacing w:val="-2"/>
          <w:sz w:val="22"/>
          <w:lang w:val="en-ID" w:eastAsia="zh-CN"/>
        </w:rPr>
        <w:t>(Md-Ali &amp; Veloo, 2021)</w:t>
      </w:r>
      <w:r w:rsidRPr="00231C32">
        <w:rPr>
          <w:rFonts w:ascii="Bodoni MT" w:hAnsi="Bodoni MT"/>
          <w:spacing w:val="-2"/>
          <w:sz w:val="22"/>
          <w:lang w:val="en-ID" w:eastAsia="zh-CN"/>
        </w:rPr>
        <w:fldChar w:fldCharType="end"/>
      </w:r>
      <w:r w:rsidRPr="00231C32">
        <w:rPr>
          <w:rFonts w:ascii="Bodoni MT" w:hAnsi="Bodoni MT"/>
          <w:spacing w:val="-2"/>
          <w:sz w:val="22"/>
          <w:lang w:val="en-ID" w:eastAsia="zh-CN"/>
        </w:rPr>
        <w:t xml:space="preserve"> The goal is to produce a Malaysian workforce that is well-trained, brilliant thinkers, creative, innovative, competitive, multi-skilled, enterprising, confident, able to master and utilize the latest digital technology, and continuous learners </w:t>
      </w:r>
      <w:r w:rsidRPr="00231C32">
        <w:rPr>
          <w:rFonts w:ascii="Bodoni MT" w:hAnsi="Bodoni MT"/>
          <w:spacing w:val="-2"/>
          <w:sz w:val="22"/>
          <w:lang w:val="en-ID" w:eastAsia="zh-CN"/>
        </w:rPr>
        <w:fldChar w:fldCharType="begin" w:fldLock="1"/>
      </w:r>
      <w:r w:rsidRPr="00231C32">
        <w:rPr>
          <w:rFonts w:ascii="Bodoni MT" w:hAnsi="Bodoni MT"/>
          <w:spacing w:val="-2"/>
          <w:sz w:val="22"/>
          <w:lang w:val="en-ID" w:eastAsia="zh-CN"/>
        </w:rPr>
        <w:instrText>ADDIN CSL_CITATION {"citationItems":[{"id":"ITEM-1","itemData":{"DOI":"10.1016/j.sbspro.2010.03.753","ISBN":"6038942378","ISSN":"18770428","abstract":"This study focus on the affective issues related to mathematics learning and instruction and specifically on mathematical beliefs, attitudes or values. Schuck and Grootenboer (2004), Leder and Forgasz (2006) and Grootenboer and Hemmings (2007) indicated that there has been an increased interest in the role of affective factors in the teaching and learning of mathematics. These affective factors included mathematics-related beliefs such as students' mathematical beliefs towards mathematics, beliefs on mathematical competency, motivational beliefs, beliefs about learning context, beliefs about social context which impacted mathematical performance, to name a few. The purpose of this study was to examine mathematics-related beliefs of secondary school students namely, students' beliefs in their mathematical competency and students beliefs on their mathematics teachers attribute in mathematics teaching. A total of 430 secondary students participated in the survey. Findings indicated an overall significant effect on students' beliefs in mathematical competency, F (4,416) = 48.41, p = 0.001, adjusted R2 = 0.31 with three significant predictors namely, students' beliefs on teachers attributes to mathematics teaching, grades in mathematics and gender. © 2010 Elsevier Ltd. All rights reserved.","author":[{"dropping-particle":"","family":"Tarmizi","given":"Rohani Ahmad","non-dropping-particle":"","parse-names":false,"suffix":""},{"dropping-particle":"","family":"Tarmizi","given":"Mohd Ariff Ahmad","non-dropping-particle":"","parse-names":false,"suffix":""}],"container-title":"Procedia - Social and Behavioral Sciences","id":"ITEM-1","issue":"2","issued":{"date-parts":[["2010"]]},"page":"4702-4706","publisher":"Elsevier Ltd","title":"Analysis of mathematical beliefs of Malaysian secondary school students","type":"article-journal","volume":"2"},"uris":["http://www.mendeley.com/documents/?uuid=f8dfb317-9caf-4663-a04f-a6c927211f0e"]}],"mendeley":{"formattedCitation":"(Tarmizi &amp; Tarmizi, 2010)","plainTextFormattedCitation":"(Tarmizi &amp; Tarmizi, 2010)","previouslyFormattedCitation":"(Tarmizi &amp; Tarmizi, 2010)"},"properties":{"noteIndex":0},"schema":"https://github.com/citation-style-language/schema/raw/master/csl-citation.json"}</w:instrText>
      </w:r>
      <w:r w:rsidRPr="00231C32">
        <w:rPr>
          <w:rFonts w:ascii="Bodoni MT" w:hAnsi="Bodoni MT"/>
          <w:spacing w:val="-2"/>
          <w:sz w:val="22"/>
          <w:lang w:val="en-ID" w:eastAsia="zh-CN"/>
        </w:rPr>
        <w:fldChar w:fldCharType="separate"/>
      </w:r>
      <w:r w:rsidRPr="00231C32">
        <w:rPr>
          <w:rFonts w:ascii="Bodoni MT" w:hAnsi="Bodoni MT"/>
          <w:noProof/>
          <w:spacing w:val="-2"/>
          <w:sz w:val="22"/>
          <w:lang w:val="en-ID" w:eastAsia="zh-CN"/>
        </w:rPr>
        <w:t>(Tarmizi &amp; Tarmizi, 2010)</w:t>
      </w:r>
      <w:r w:rsidRPr="00231C32">
        <w:rPr>
          <w:rFonts w:ascii="Bodoni MT" w:hAnsi="Bodoni MT"/>
          <w:spacing w:val="-2"/>
          <w:sz w:val="22"/>
          <w:lang w:val="en-ID" w:eastAsia="zh-CN"/>
        </w:rPr>
        <w:fldChar w:fldCharType="end"/>
      </w:r>
      <w:r w:rsidRPr="00231C32">
        <w:rPr>
          <w:rFonts w:ascii="Bodoni MT" w:hAnsi="Bodoni MT"/>
          <w:spacing w:val="-2"/>
          <w:sz w:val="22"/>
          <w:lang w:val="en-ID" w:eastAsia="zh-CN"/>
        </w:rPr>
        <w:t xml:space="preserve">. Teachers usually give assignments or math exercises in textbooks or reference books as homework so that problem-solving skills and mathematical theories and concepts can be honed and improved </w:t>
      </w:r>
      <w:r w:rsidRPr="00231C32">
        <w:rPr>
          <w:rFonts w:ascii="Bodoni MT" w:hAnsi="Bodoni MT"/>
          <w:spacing w:val="-2"/>
          <w:sz w:val="22"/>
          <w:lang w:val="en-ID" w:eastAsia="zh-CN"/>
        </w:rPr>
        <w:fldChar w:fldCharType="begin" w:fldLock="1"/>
      </w:r>
      <w:r w:rsidRPr="00231C32">
        <w:rPr>
          <w:rFonts w:ascii="Bodoni MT" w:hAnsi="Bodoni MT"/>
          <w:spacing w:val="-2"/>
          <w:sz w:val="22"/>
          <w:lang w:val="en-ID" w:eastAsia="zh-CN"/>
        </w:rPr>
        <w:instrText>ADDIN CSL_CITATION {"citationItems":[{"id":"ITEM-1","itemData":{"DOI":"10.1177/1932202X1002200103","ISSN":"21629536","abstract":"Several decades ago, V. A. Krutetskii conducted a multiyear study to investigate the various types of thinking that academically advanced, or as he called them, gifted mathematicians used. Following an in-depth look at Krutetskii's nine ways of thinking, a model is proposed that will provide direction for teachers in selecting problems. The model is comprised of four levels of mathematical tasks. Level 1 is mathematical exercises, Level 2 is word or story problems, Level 3 is mathematical problems, and Level 4 is authentic mathematical problem-solving tasks. Subsequently, an elaboration of high- and low-level tasks is applied to the four-level model. Consistent with Krutetskii's theory, the suggestion is then made that approximately of the curricula for students of advanced intellect in mathematics should be comprised of Levels 1 and 2 tasks, should be comprised of Level 3 tasks, and should be comprised of Level 4 tasks. Three implications are offered for teachers and four are offered for researchers. The first implication is that teachers must carefully scrutinize their curriculum to see that it meets the needs of all students, including academically advanced students. The second implication is that conceptual (deep) understanding of algorithms can be attained through the use of mathematical problems and authentically challenging tasks. The third implication is that teachers are not likely to have a database of problems that represents all levels if they use only the provided textbook. Researchers and educators should be reminded that additional time and effort is necessary to empirically research the proposed theory. Moreover, authentically challenging tasks, such as Model-Eliciting Activities, should be used with students, and they could be used for assessment.","author":[{"dropping-particle":"","family":"Chamberlin","given":"Scott A.","non-dropping-particle":"","parse-names":false,"suffix":""}],"container-title":"Journal of Advanced Academics","id":"ITEM-1","issue":"1","issued":{"date-parts":[["2010"]]},"page":"52-76","title":"Mathematical Problems That Optimize Learning for Academically Advanced Students in Grades K-6","type":"article-journal","volume":"22"},"uris":["http://www.mendeley.com/documents/?uuid=9fb24362-6026-4347-a2fe-d0d6d602e283"]}],"mendeley":{"formattedCitation":"(Chamberlin, 2010)","plainTextFormattedCitation":"(Chamberlin, 2010)","previouslyFormattedCitation":"(Chamberlin, 2010)"},"properties":{"noteIndex":0},"schema":"https://github.com/citation-style-language/schema/raw/master/csl-citation.json"}</w:instrText>
      </w:r>
      <w:r w:rsidRPr="00231C32">
        <w:rPr>
          <w:rFonts w:ascii="Bodoni MT" w:hAnsi="Bodoni MT"/>
          <w:spacing w:val="-2"/>
          <w:sz w:val="22"/>
          <w:lang w:val="en-ID" w:eastAsia="zh-CN"/>
        </w:rPr>
        <w:fldChar w:fldCharType="separate"/>
      </w:r>
      <w:r w:rsidRPr="00231C32">
        <w:rPr>
          <w:rFonts w:ascii="Bodoni MT" w:hAnsi="Bodoni MT"/>
          <w:noProof/>
          <w:spacing w:val="-2"/>
          <w:sz w:val="22"/>
          <w:lang w:val="en-ID" w:eastAsia="zh-CN"/>
        </w:rPr>
        <w:t>(Chamberlin, 2010)</w:t>
      </w:r>
      <w:r w:rsidRPr="00231C32">
        <w:rPr>
          <w:rFonts w:ascii="Bodoni MT" w:hAnsi="Bodoni MT"/>
          <w:spacing w:val="-2"/>
          <w:sz w:val="22"/>
          <w:lang w:val="en-ID" w:eastAsia="zh-CN"/>
        </w:rPr>
        <w:fldChar w:fldCharType="end"/>
      </w:r>
      <w:r w:rsidRPr="00231C32">
        <w:rPr>
          <w:rFonts w:ascii="Bodoni MT" w:hAnsi="Bodoni MT"/>
          <w:spacing w:val="-2"/>
          <w:sz w:val="22"/>
          <w:lang w:val="en-ID" w:eastAsia="zh-CN"/>
        </w:rPr>
        <w:t xml:space="preserve">. These math assignments or exercises will then be discussed in the next class, and students may also need to complete them before class. Therefore, the suitability of students' learning styles plays a role in encouraging them to be thorough in math tasks </w:t>
      </w:r>
      <w:r w:rsidRPr="00231C32">
        <w:rPr>
          <w:rFonts w:ascii="Bodoni MT" w:hAnsi="Bodoni MT"/>
          <w:spacing w:val="-2"/>
          <w:sz w:val="22"/>
          <w:lang w:val="en-ID" w:eastAsia="zh-CN"/>
        </w:rPr>
        <w:fldChar w:fldCharType="begin" w:fldLock="1"/>
      </w:r>
      <w:r w:rsidR="009A2AD0">
        <w:rPr>
          <w:rFonts w:ascii="Bodoni MT" w:hAnsi="Bodoni MT"/>
          <w:spacing w:val="-2"/>
          <w:sz w:val="22"/>
          <w:lang w:val="en-ID" w:eastAsia="zh-CN"/>
        </w:rPr>
        <w:instrText>ADDIN CSL_CITATION {"citationItems":[{"id":"ITEM-1","itemData":{"DOI":"10.1387/RevPsicodidact.13939","ISBN":"1754342000","ISSN":"11361034","abstract":"The role of teacher, family and the background of students in conducting homework and math performance were investigated. Participants were 7,725 Spanish adolescents with the mean age of 13.78 (± .82) and 2,246 teachers who taught the above mentioned students. A two-level hierarchical linear analysis, students (N = 7,541) and classrooms (N = 353), was performed, adjusted for background and prior achievement variables. The results indicate that the autonomous work of the students is more important than the time they spent on homework. The weight that homework has in school grades (Level 1) and frequency allocation (level 2) are the two most important variables related to the policy of the teacher assignments. Finally, family involvement in learning and the importance of homework for the family also appear positively and significantly linked to the performance.","author":[{"dropping-particle":"","family":"Fernández-Alonso","given":"Rubén","non-dropping-particle":"","parse-names":false,"suffix":""},{"dropping-particle":"","family":"Suárez-Álvarez","given":"Javier","non-dropping-particle":"","parse-names":false,"suffix":""},{"dropping-particle":"","family":"Muñiz","given":"José","non-dropping-particle":"","parse-names":false,"suffix":""}],"container-title":"Revista de Psicodidactica","id":"ITEM-1","issue":"1","issued":{"date-parts":[["2016"]]},"page":"5-23","title":"Deberes y rendimiento en matemáticas: Papel del profesorado, la familia y las características del alumnado","type":"article-journal","volume":"21"},"uris":["http://www.mendeley.com/documents/?uuid=bf363b32-8a9f-445c-87a9-95b4546ac5da"]}],"mendeley":{"formattedCitation":"(Fernández-Alonso et al., 2016)"},"properties":{"noteIndex":0},"schema":"https://github.com/citation-style-language/schema/raw/master/csl-citation.json"}</w:instrText>
      </w:r>
      <w:r w:rsidRPr="00231C32">
        <w:rPr>
          <w:rFonts w:ascii="Bodoni MT" w:hAnsi="Bodoni MT"/>
          <w:spacing w:val="-2"/>
          <w:sz w:val="22"/>
          <w:lang w:val="en-ID" w:eastAsia="zh-CN"/>
        </w:rPr>
        <w:fldChar w:fldCharType="separate"/>
      </w:r>
      <w:r w:rsidR="009A2AD0" w:rsidRPr="009A2AD0">
        <w:rPr>
          <w:rFonts w:ascii="Bodoni MT" w:hAnsi="Bodoni MT"/>
          <w:noProof/>
          <w:spacing w:val="-2"/>
          <w:sz w:val="22"/>
          <w:lang w:val="en-ID" w:eastAsia="zh-CN"/>
        </w:rPr>
        <w:t>(Fernández-Alonso et al., 2016)</w:t>
      </w:r>
      <w:r w:rsidRPr="00231C32">
        <w:rPr>
          <w:rFonts w:ascii="Bodoni MT" w:hAnsi="Bodoni MT"/>
          <w:spacing w:val="-2"/>
          <w:sz w:val="22"/>
          <w:lang w:val="en-ID" w:eastAsia="zh-CN"/>
        </w:rPr>
        <w:fldChar w:fldCharType="end"/>
      </w:r>
    </w:p>
    <w:p w14:paraId="76B182AE" w14:textId="2267AA55" w:rsidR="00231C32" w:rsidRPr="00231C32" w:rsidRDefault="00231C32" w:rsidP="00231C32">
      <w:pPr>
        <w:pStyle w:val="Alishlah31text"/>
        <w:rPr>
          <w:rFonts w:ascii="Bodoni MT" w:hAnsi="Bodoni MT"/>
          <w:spacing w:val="-2"/>
          <w:sz w:val="22"/>
          <w:lang w:val="en-ID" w:eastAsia="zh-CN"/>
        </w:rPr>
      </w:pPr>
      <w:r w:rsidRPr="00231C32">
        <w:rPr>
          <w:rFonts w:ascii="Bodoni MT" w:hAnsi="Bodoni MT"/>
          <w:spacing w:val="-2"/>
          <w:sz w:val="22"/>
          <w:lang w:val="en-ID" w:eastAsia="zh-CN"/>
        </w:rPr>
        <w:t xml:space="preserve">It will be challenging for someone to concentrate on learning if they feel forced. Therefore, there needs to be a way to make learning math fun. The teacher's role is to provide space for students to make mathematical connections, ask questions, develop their argumentation skills, and articulate their reasoning. Students with good reasoning skills will be equipped with the accuracy and appropriateness of the language they use to explain and argue mathematically </w:t>
      </w:r>
      <w:r w:rsidRPr="00231C32">
        <w:rPr>
          <w:rFonts w:ascii="Bodoni MT" w:hAnsi="Bodoni MT"/>
          <w:spacing w:val="-2"/>
          <w:sz w:val="22"/>
          <w:lang w:val="en-ID" w:eastAsia="zh-CN"/>
        </w:rPr>
        <w:fldChar w:fldCharType="begin" w:fldLock="1"/>
      </w:r>
      <w:r w:rsidRPr="00231C32">
        <w:rPr>
          <w:rFonts w:ascii="Bodoni MT" w:hAnsi="Bodoni MT"/>
          <w:spacing w:val="-2"/>
          <w:sz w:val="22"/>
          <w:lang w:val="en-ID" w:eastAsia="zh-CN"/>
        </w:rPr>
        <w:instrText>ADDIN CSL_CITATION {"citationItems":[{"id":"ITEM-1","itemData":{"DOI":"10.1016/j.learninstruc.2023.101777","ISSN":"09594752","abstract":"Interactive dialogue within feedback episodes is essential for developing primary school students' mathematical reasoning competence. Our goal was to better understand the nature of the associations between observed dialogue, teachers' formative feedback, and students' mathematical reasoning. We applied a two-step approach, first constructing a video-analysis instrument for assessing the quality of interactive dialogues and then combining the interaction data with student and teacher questionnaire data from 804 students in 44 fifth and sixth grade primary school classes. The quality of the observed dialogues predicted class differences in students’ self-efficacy for explaining but not in their reasoning competence, which was predicted by perceived formative feedback.","author":[{"dropping-particle":"","family":"Smit","given":"Robbert","non-dropping-particle":"","parse-names":false,"suffix":""},{"dropping-particle":"","family":"Hess","given":"Kurt","non-dropping-particle":"","parse-names":false,"suffix":""},{"dropping-particle":"","family":"Taras","given":"Alexandra","non-dropping-particle":"","parse-names":false,"suffix":""},{"dropping-particle":"","family":"Bachmann","given":"Patricia","non-dropping-particle":"","parse-names":false,"suffix":""},{"dropping-particle":"","family":"Dober","given":"Heidi","non-dropping-particle":"","parse-names":false,"suffix":""}],"container-title":"Learning and Instruction","id":"ITEM-1","issued":{"date-parts":[["2023"]]},"page":"1-18","publisher":"Elsevier Ltd","title":"The role of interactive dialogue in students’ learning of mathematical reasoning: A quantitative multi-method analysis of feedback episodes","type":"article-journal","volume":"86"},"uris":["http://www.mendeley.com/documents/?uuid=1f94e39f-8156-4eab-a33c-9e6d3ad49c58"]}],"mendeley":{"formattedCitation":"(Smit et al., 2023)","plainTextFormattedCitation":"(Smit et al., 2023)","previouslyFormattedCitation":"(Smit et al., 2023)"},"properties":{"noteIndex":0},"schema":"https://github.com/citation-style-language/schema/raw/master/csl-citation.json"}</w:instrText>
      </w:r>
      <w:r w:rsidRPr="00231C32">
        <w:rPr>
          <w:rFonts w:ascii="Bodoni MT" w:hAnsi="Bodoni MT"/>
          <w:spacing w:val="-2"/>
          <w:sz w:val="22"/>
          <w:lang w:val="en-ID" w:eastAsia="zh-CN"/>
        </w:rPr>
        <w:fldChar w:fldCharType="separate"/>
      </w:r>
      <w:r w:rsidRPr="00231C32">
        <w:rPr>
          <w:rFonts w:ascii="Bodoni MT" w:hAnsi="Bodoni MT"/>
          <w:noProof/>
          <w:spacing w:val="-2"/>
          <w:sz w:val="22"/>
          <w:lang w:val="en-ID" w:eastAsia="zh-CN"/>
        </w:rPr>
        <w:t>(Smit et al., 2023)</w:t>
      </w:r>
      <w:r w:rsidRPr="00231C32">
        <w:rPr>
          <w:rFonts w:ascii="Bodoni MT" w:hAnsi="Bodoni MT"/>
          <w:spacing w:val="-2"/>
          <w:sz w:val="22"/>
          <w:lang w:val="en-ID" w:eastAsia="zh-CN"/>
        </w:rPr>
        <w:fldChar w:fldCharType="end"/>
      </w:r>
      <w:r w:rsidRPr="00231C32">
        <w:rPr>
          <w:rFonts w:ascii="Bodoni MT" w:hAnsi="Bodoni MT"/>
          <w:spacing w:val="-2"/>
          <w:sz w:val="22"/>
          <w:lang w:val="en-ID" w:eastAsia="zh-CN"/>
        </w:rPr>
        <w:t xml:space="preserve">. By recognizing learning styles, students will be able to manage under what conditions, where, when, and how they can maximize learning. Understanding students' learning styles is very important in the teaching and learning process because by knowing the learning styles of each student, teachers can help develop the potentials that exist in students according to their abilities </w:t>
      </w:r>
      <w:r w:rsidRPr="00231C32">
        <w:rPr>
          <w:rFonts w:ascii="Bodoni MT" w:hAnsi="Bodoni MT"/>
          <w:spacing w:val="-2"/>
          <w:sz w:val="22"/>
          <w:lang w:val="en-ID" w:eastAsia="zh-CN"/>
        </w:rPr>
        <w:fldChar w:fldCharType="begin" w:fldLock="1"/>
      </w:r>
      <w:r w:rsidR="009A2AD0">
        <w:rPr>
          <w:rFonts w:ascii="Bodoni MT" w:hAnsi="Bodoni MT"/>
          <w:spacing w:val="-2"/>
          <w:sz w:val="22"/>
          <w:lang w:val="en-ID" w:eastAsia="zh-CN"/>
        </w:rPr>
        <w:instrText>ADDIN CSL_CITATION {"citationItems":[{"id":"ITEM-1","itemData":{"DOI":"10.1016/j.sbspro.2011.03.176","ISSN":"18770428","abstract":"The aim of this study is to determine the brain dominance and learning style profiles of pre-service mathematics teachers and establish the relationships between them. The study, which was conducted with survey model, was carried out with the participation of 273 pre-service mathematics teachers. \"Brain Dominance Analysis\" and \"Learning Style Inventory\" were used as data collection tools in the study. As a result of the analysis of data, it was determined that pre-service mathematics teachers usually preferred \"converger\" and \"assimilator\" learning styles. The analysis revealed that \"C\" and \"D\" brain quadrants of pre-service teachers were dominant. Statistically significant differences were found in A, B, C quadrants of brain dominance analysis scores according to learning styles. In all of the learning styles, C quadrant received the highest scores, while A quadrant received lowest. In the study, a high-level correlation was not found between learning style dimensions and dominant brain quadrants. © 2011 Published by Elsevier Ltd.","author":[{"dropping-particle":"","family":"Özgen","given":"Kemal","non-dropping-particle":"","parse-names":false,"suffix":""},{"dropping-particle":"","family":"Tataro</w:instrText>
      </w:r>
      <w:r w:rsidR="009A2AD0">
        <w:rPr>
          <w:rFonts w:ascii="Times New Roman" w:hAnsi="Times New Roman"/>
          <w:spacing w:val="-2"/>
          <w:sz w:val="22"/>
          <w:lang w:val="en-ID" w:eastAsia="zh-CN"/>
        </w:rPr>
        <w:instrText>ǧ</w:instrText>
      </w:r>
      <w:r w:rsidR="009A2AD0">
        <w:rPr>
          <w:rFonts w:ascii="Bodoni MT" w:hAnsi="Bodoni MT"/>
          <w:spacing w:val="-2"/>
          <w:sz w:val="22"/>
          <w:lang w:val="en-ID" w:eastAsia="zh-CN"/>
        </w:rPr>
        <w:instrText>lu","given":"Berna","non-dropping-particle":"","parse-names":false,"suffix":""},{"dropping-particle":"","family":"Alkan","given":"H</w:instrText>
      </w:r>
      <w:r w:rsidR="009A2AD0">
        <w:rPr>
          <w:rFonts w:ascii="Bodoni MT" w:hAnsi="Bodoni MT" w:cs="Bodoni MT"/>
          <w:spacing w:val="-2"/>
          <w:sz w:val="22"/>
          <w:lang w:val="en-ID" w:eastAsia="zh-CN"/>
        </w:rPr>
        <w:instrText>ü</w:instrText>
      </w:r>
      <w:r w:rsidR="009A2AD0">
        <w:rPr>
          <w:rFonts w:ascii="Bodoni MT" w:hAnsi="Bodoni MT"/>
          <w:spacing w:val="-2"/>
          <w:sz w:val="22"/>
          <w:lang w:val="en-ID" w:eastAsia="zh-CN"/>
        </w:rPr>
        <w:instrText>seyin","non-dropping-particle":"","parse-names":false,"suffix":""}],"container-title":"Procedia - Social and Behavioral Sciences","id":"ITEM-1","issued":{"date-parts":[["2011"]]},"page":"743-750","title":"An examination of brain dominance and learning styles of pre-service mathematics teachers","type":"article-journal","volume":"15"},"uris":["http://www.mendeley.com/documents/?uuid=732a458b-c1ce-4796-be5f-ec4fa0576e83"]}],"mendeley":{"formattedCitation":"(Özgen et al., 2011)"},"properties":{"noteIndex":0},"schema":"https://github.com/citation-style-language/schema/raw/master/csl-citation.json"}</w:instrText>
      </w:r>
      <w:r w:rsidRPr="00231C32">
        <w:rPr>
          <w:rFonts w:ascii="Bodoni MT" w:hAnsi="Bodoni MT"/>
          <w:spacing w:val="-2"/>
          <w:sz w:val="22"/>
          <w:lang w:val="en-ID" w:eastAsia="zh-CN"/>
        </w:rPr>
        <w:fldChar w:fldCharType="separate"/>
      </w:r>
      <w:r w:rsidR="009A2AD0" w:rsidRPr="009A2AD0">
        <w:rPr>
          <w:rFonts w:ascii="Bodoni MT" w:hAnsi="Bodoni MT"/>
          <w:noProof/>
          <w:spacing w:val="-2"/>
          <w:sz w:val="22"/>
          <w:lang w:val="en-ID" w:eastAsia="zh-CN"/>
        </w:rPr>
        <w:t>(Özgen et al., 2011)</w:t>
      </w:r>
      <w:r w:rsidRPr="00231C32">
        <w:rPr>
          <w:rFonts w:ascii="Bodoni MT" w:hAnsi="Bodoni MT"/>
          <w:spacing w:val="-2"/>
          <w:sz w:val="22"/>
          <w:lang w:val="en-ID" w:eastAsia="zh-CN"/>
        </w:rPr>
        <w:fldChar w:fldCharType="end"/>
      </w:r>
      <w:r w:rsidRPr="00231C32">
        <w:rPr>
          <w:rFonts w:ascii="Bodoni MT" w:hAnsi="Bodoni MT"/>
          <w:spacing w:val="-2"/>
          <w:sz w:val="22"/>
          <w:lang w:val="en-ID" w:eastAsia="zh-CN"/>
        </w:rPr>
        <w:t xml:space="preserve"> Education cannot be fully achieved without </w:t>
      </w:r>
      <w:r w:rsidRPr="00231C32">
        <w:rPr>
          <w:rFonts w:ascii="Bodoni MT" w:hAnsi="Bodoni MT"/>
          <w:spacing w:val="-2"/>
          <w:sz w:val="22"/>
          <w:lang w:val="en-ID" w:eastAsia="zh-CN"/>
        </w:rPr>
        <w:lastRenderedPageBreak/>
        <w:t xml:space="preserve">learning habits that match learners' knowledge that learning styles and learning habits go together not only in learning but also in helping instructors support individual students towards better learning </w:t>
      </w:r>
      <w:r w:rsidRPr="00231C32">
        <w:rPr>
          <w:rFonts w:ascii="Bodoni MT" w:hAnsi="Bodoni MT"/>
          <w:spacing w:val="-2"/>
          <w:sz w:val="22"/>
          <w:lang w:val="en-ID" w:eastAsia="zh-CN"/>
        </w:rPr>
        <w:fldChar w:fldCharType="begin" w:fldLock="1"/>
      </w:r>
      <w:r w:rsidR="009A2AD0">
        <w:rPr>
          <w:rFonts w:ascii="Bodoni MT" w:hAnsi="Bodoni MT"/>
          <w:spacing w:val="-2"/>
          <w:sz w:val="22"/>
          <w:lang w:val="en-ID" w:eastAsia="zh-CN"/>
        </w:rPr>
        <w:instrText>ADDIN CSL_CITATION {"citationItems":[{"id":"ITEM-1","itemData":{"DOI":"10.1016/j.procs.2023.12.174","ISSN":"1877-0509","author":[{"dropping-particle":"","family":"Garizábalo-dávila","given":"Claudia","non-dropping-particle":"","parse-names":false,"suffix":""},{"dropping-particle":"","family":"Ospino-mendoza","given":"Elisa","non-dropping-particle":"","parse-names":false,"suffix":""},{"dropping-particle":"","family":"Marin-hamburger","given":"Yadira","non-dropping-particle":"","parse-names":false,"suffix":""},{"dropping-particle":"","family":"Garizábalo-dávila","given":"Claudia","non-dropping-particle":"","parse-names":false,"suffix":""},{"dropping-particle":"","family":"Ospino-mendoza","given":"Elisa","non-dropping-particle":"","parse-names":false,"suffix":""}],"container-title":"Procedia Computer Science","id":"ITEM-1","issued":{"date-parts":[["2024"]]},"page":"623-628","publisher":"Elsevier B.V.","title":"ScienceDirect ScienceDirect An Empirical Analysis of Learning Styles and Generic Competencies in University Students : Case of and Health Services An Empirical Analysis of Learning Styles Generic Administration Students in the City of Case Barranquilla , ","type":"article-journal","volume":"231"},"uris":["http://www.mendeley.com/documents/?uuid=ad0736ff-4576-4019-aff8-54098c8df652"]}],"mendeley":{"formattedCitation":"(Garizábalo-dávila et al., 2024)"},"properties":{"noteIndex":0},"schema":"https://github.com/citation-style-language/schema/raw/master/csl-citation.json"}</w:instrText>
      </w:r>
      <w:r w:rsidRPr="00231C32">
        <w:rPr>
          <w:rFonts w:ascii="Bodoni MT" w:hAnsi="Bodoni MT"/>
          <w:spacing w:val="-2"/>
          <w:sz w:val="22"/>
          <w:lang w:val="en-ID" w:eastAsia="zh-CN"/>
        </w:rPr>
        <w:fldChar w:fldCharType="separate"/>
      </w:r>
      <w:r w:rsidR="009A2AD0" w:rsidRPr="009A2AD0">
        <w:rPr>
          <w:rFonts w:ascii="Bodoni MT" w:hAnsi="Bodoni MT"/>
          <w:noProof/>
          <w:spacing w:val="-2"/>
          <w:sz w:val="22"/>
          <w:lang w:val="en-ID" w:eastAsia="zh-CN"/>
        </w:rPr>
        <w:t>(Garizábalo-dávila et al., 2024)</w:t>
      </w:r>
      <w:r w:rsidRPr="00231C32">
        <w:rPr>
          <w:rFonts w:ascii="Bodoni MT" w:hAnsi="Bodoni MT"/>
          <w:spacing w:val="-2"/>
          <w:sz w:val="22"/>
          <w:lang w:val="en-ID" w:eastAsia="zh-CN"/>
        </w:rPr>
        <w:fldChar w:fldCharType="end"/>
      </w:r>
      <w:r w:rsidRPr="00231C32">
        <w:rPr>
          <w:rFonts w:ascii="Bodoni MT" w:hAnsi="Bodoni MT"/>
          <w:spacing w:val="-2"/>
          <w:sz w:val="22"/>
          <w:lang w:val="en-ID" w:eastAsia="zh-CN"/>
        </w:rPr>
        <w:t xml:space="preserve"> Thus, the purpose of this study is to determine the comparison of learning outcomes and learning styles of students on the material of trigonometric comparison in right triangles.</w:t>
      </w:r>
    </w:p>
    <w:p w14:paraId="5B98234E" w14:textId="77777777" w:rsidR="00231C32" w:rsidRPr="00231C32" w:rsidRDefault="00231C32">
      <w:pPr>
        <w:pBdr>
          <w:top w:val="nil"/>
          <w:left w:val="nil"/>
          <w:bottom w:val="nil"/>
          <w:right w:val="nil"/>
          <w:between w:val="nil"/>
        </w:pBdr>
        <w:spacing w:after="240" w:line="276" w:lineRule="auto"/>
        <w:ind w:firstLine="567"/>
        <w:jc w:val="both"/>
        <w:rPr>
          <w:rFonts w:ascii="Bodoni" w:eastAsia="Bodoni" w:hAnsi="Bodoni" w:cs="Bodoni"/>
          <w:color w:val="FF0000"/>
          <w:lang w:val="en-US"/>
        </w:rPr>
      </w:pPr>
    </w:p>
    <w:p w14:paraId="4B5FE8CC" w14:textId="74DCECC9" w:rsidR="00B35D94" w:rsidRDefault="004F62F0">
      <w:pPr>
        <w:pBdr>
          <w:top w:val="nil"/>
          <w:left w:val="nil"/>
          <w:bottom w:val="nil"/>
          <w:right w:val="nil"/>
          <w:between w:val="nil"/>
        </w:pBdr>
        <w:spacing w:after="40" w:line="276" w:lineRule="auto"/>
        <w:jc w:val="both"/>
        <w:rPr>
          <w:rFonts w:ascii="Bodoni" w:eastAsia="Bodoni" w:hAnsi="Bodoni" w:cs="Bodoni"/>
          <w:color w:val="FF0000"/>
        </w:rPr>
      </w:pPr>
      <w:r w:rsidRPr="004F62F0">
        <w:rPr>
          <w:rFonts w:ascii="Bodoni" w:eastAsia="Bodoni" w:hAnsi="Bodoni" w:cs="Bodoni"/>
          <w:b/>
          <w:color w:val="000000"/>
          <w:lang w:val="en-US"/>
        </w:rPr>
        <w:t>METHODOLOGY</w:t>
      </w:r>
      <w:r w:rsidR="00034F31">
        <w:rPr>
          <w:rFonts w:ascii="Bodoni" w:eastAsia="Bodoni" w:hAnsi="Bodoni" w:cs="Bodoni"/>
          <w:b/>
          <w:color w:val="000000"/>
        </w:rPr>
        <w:t xml:space="preserve"> </w:t>
      </w:r>
    </w:p>
    <w:p w14:paraId="6A2FB86C" w14:textId="28E1E13E" w:rsidR="001C66BF" w:rsidRPr="001C66BF" w:rsidRDefault="001C66BF" w:rsidP="001C66BF">
      <w:pPr>
        <w:pBdr>
          <w:top w:val="nil"/>
          <w:left w:val="nil"/>
          <w:bottom w:val="nil"/>
          <w:right w:val="nil"/>
          <w:between w:val="nil"/>
        </w:pBdr>
        <w:spacing w:after="40" w:line="276" w:lineRule="auto"/>
        <w:ind w:firstLine="567"/>
        <w:jc w:val="both"/>
        <w:rPr>
          <w:rFonts w:ascii="Bodoni" w:eastAsia="Bodoni" w:hAnsi="Bodoni" w:cs="Bodoni"/>
          <w:color w:val="000000"/>
          <w:lang w:val="en-US"/>
        </w:rPr>
      </w:pPr>
      <w:r w:rsidRPr="001C66BF">
        <w:rPr>
          <w:rFonts w:ascii="Bodoni MT" w:hAnsi="Bodoni MT"/>
        </w:rPr>
        <w:t>The type of research used in this study is an experimental class with a quantitative approach. In this study, researchers involved four variables, namely visual (</w:t>
      </w:r>
      <w:r w:rsidRPr="001C66BF">
        <w:rPr>
          <w:rFonts w:ascii="Cambria Math" w:hAnsi="Cambria Math" w:cs="Cambria Math"/>
        </w:rPr>
        <w:t>𝑋</w:t>
      </w:r>
      <w:r w:rsidRPr="001C66BF">
        <w:rPr>
          <w:rFonts w:ascii="Bodoni MT" w:hAnsi="Bodoni MT"/>
        </w:rPr>
        <w:t>1), auditorial (</w:t>
      </w:r>
      <w:r w:rsidRPr="001C66BF">
        <w:rPr>
          <w:rFonts w:ascii="Cambria Math" w:hAnsi="Cambria Math" w:cs="Cambria Math"/>
        </w:rPr>
        <w:t>𝑋</w:t>
      </w:r>
      <w:r w:rsidRPr="001C66BF">
        <w:rPr>
          <w:rFonts w:ascii="Bodoni MT" w:hAnsi="Bodoni MT" w:cs="Cambria Math"/>
        </w:rPr>
        <w:t xml:space="preserve">2), </w:t>
      </w:r>
      <w:r w:rsidRPr="001C66BF">
        <w:rPr>
          <w:rFonts w:ascii="Bodoni MT" w:hAnsi="Bodoni MT"/>
        </w:rPr>
        <w:t>and kinesthetic (</w:t>
      </w:r>
      <w:r w:rsidRPr="001C66BF">
        <w:rPr>
          <w:rFonts w:ascii="Cambria Math" w:hAnsi="Cambria Math" w:cs="Cambria Math"/>
        </w:rPr>
        <w:t>𝑋</w:t>
      </w:r>
      <w:r w:rsidRPr="001C66BF">
        <w:rPr>
          <w:rFonts w:ascii="Bodoni MT" w:hAnsi="Bodoni MT" w:cs="Cambria Math"/>
        </w:rPr>
        <w:t xml:space="preserve">3) </w:t>
      </w:r>
      <w:r w:rsidRPr="001C66BF">
        <w:rPr>
          <w:rFonts w:ascii="Bodoni MT" w:hAnsi="Bodoni MT"/>
        </w:rPr>
        <w:t>learning styles as independent variables. In contrast, math learning achievement was the dependent variable (Y), and then researchers tried to explain the causes of these differences. The research design can be shown in Figure 1.</w:t>
      </w:r>
    </w:p>
    <w:p w14:paraId="43C2F90D" w14:textId="77777777" w:rsidR="001C66BF" w:rsidRPr="001C66BF" w:rsidRDefault="001C66BF" w:rsidP="001C66BF">
      <w:pPr>
        <w:spacing w:after="0"/>
        <w:jc w:val="center"/>
        <w:rPr>
          <w:rFonts w:ascii="Bodoni MT" w:hAnsi="Bodoni MT"/>
        </w:rPr>
      </w:pPr>
      <w:r w:rsidRPr="001C66BF">
        <w:rPr>
          <w:rFonts w:ascii="Bodoni MT" w:hAnsi="Bodoni MT"/>
        </w:rPr>
        <w:t>Table 1. Research Design</w:t>
      </w:r>
    </w:p>
    <w:tbl>
      <w:tblPr>
        <w:tblW w:w="0" w:type="auto"/>
        <w:tblInd w:w="2876" w:type="dxa"/>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1766"/>
        <w:gridCol w:w="1845"/>
      </w:tblGrid>
      <w:tr w:rsidR="001C66BF" w:rsidRPr="001C66BF" w14:paraId="6EDFB9DB" w14:textId="77777777" w:rsidTr="00034F31">
        <w:trPr>
          <w:trHeight w:val="56"/>
        </w:trPr>
        <w:tc>
          <w:tcPr>
            <w:tcW w:w="1766" w:type="dxa"/>
          </w:tcPr>
          <w:p w14:paraId="29D93E31" w14:textId="77777777" w:rsidR="001C66BF" w:rsidRPr="001C66BF" w:rsidRDefault="001C66BF" w:rsidP="00034F31">
            <w:pPr>
              <w:spacing w:after="0"/>
              <w:jc w:val="center"/>
              <w:rPr>
                <w:rFonts w:ascii="Bodoni MT" w:hAnsi="Bodoni MT"/>
              </w:rPr>
            </w:pPr>
            <w:r w:rsidRPr="001C66BF">
              <w:rPr>
                <w:rFonts w:ascii="Bodoni MT" w:hAnsi="Bodoni MT"/>
              </w:rPr>
              <w:t>Independent variable</w:t>
            </w:r>
          </w:p>
        </w:tc>
        <w:tc>
          <w:tcPr>
            <w:tcW w:w="1845" w:type="dxa"/>
          </w:tcPr>
          <w:p w14:paraId="0E33A8CF" w14:textId="77777777" w:rsidR="001C66BF" w:rsidRPr="001C66BF" w:rsidRDefault="001C66BF" w:rsidP="00034F31">
            <w:pPr>
              <w:spacing w:after="0"/>
              <w:jc w:val="center"/>
              <w:rPr>
                <w:rFonts w:ascii="Bodoni MT" w:hAnsi="Bodoni MT"/>
              </w:rPr>
            </w:pPr>
            <w:r w:rsidRPr="001C66BF">
              <w:rPr>
                <w:rFonts w:ascii="Bodoni MT" w:hAnsi="Bodoni MT"/>
              </w:rPr>
              <w:t>Dependent variable</w:t>
            </w:r>
          </w:p>
        </w:tc>
      </w:tr>
      <w:tr w:rsidR="001C66BF" w:rsidRPr="001C66BF" w14:paraId="62C0123F" w14:textId="77777777" w:rsidTr="00034F31">
        <w:trPr>
          <w:trHeight w:val="158"/>
        </w:trPr>
        <w:tc>
          <w:tcPr>
            <w:tcW w:w="1766" w:type="dxa"/>
            <w:tcBorders>
              <w:bottom w:val="nil"/>
            </w:tcBorders>
          </w:tcPr>
          <w:p w14:paraId="17E9EA4A" w14:textId="77777777" w:rsidR="001C66BF" w:rsidRPr="001C66BF" w:rsidRDefault="001C66BF" w:rsidP="00034F31">
            <w:pPr>
              <w:spacing w:after="0"/>
              <w:jc w:val="center"/>
              <w:rPr>
                <w:rFonts w:ascii="Bodoni MT" w:hAnsi="Bodoni MT"/>
              </w:rPr>
            </w:pPr>
            <w:r w:rsidRPr="001C66BF">
              <w:rPr>
                <w:rFonts w:ascii="Bodoni MT" w:hAnsi="Bodoni MT"/>
              </w:rPr>
              <w:t>X1</w:t>
            </w:r>
          </w:p>
        </w:tc>
        <w:tc>
          <w:tcPr>
            <w:tcW w:w="1845" w:type="dxa"/>
            <w:vMerge w:val="restart"/>
          </w:tcPr>
          <w:p w14:paraId="03CDE9BC" w14:textId="77777777" w:rsidR="001C66BF" w:rsidRPr="001C66BF" w:rsidRDefault="001C66BF" w:rsidP="00034F31">
            <w:pPr>
              <w:spacing w:after="0"/>
              <w:rPr>
                <w:rFonts w:ascii="Bodoni MT" w:hAnsi="Bodoni MT"/>
              </w:rPr>
            </w:pPr>
          </w:p>
          <w:p w14:paraId="0D8C8467" w14:textId="77777777" w:rsidR="001C66BF" w:rsidRPr="001C66BF" w:rsidRDefault="001C66BF" w:rsidP="00034F31">
            <w:pPr>
              <w:spacing w:after="0"/>
              <w:jc w:val="center"/>
              <w:rPr>
                <w:rFonts w:ascii="Bodoni MT" w:hAnsi="Bodoni MT"/>
              </w:rPr>
            </w:pPr>
            <w:r w:rsidRPr="001C66BF">
              <w:rPr>
                <w:rFonts w:ascii="Bodoni MT" w:hAnsi="Bodoni MT"/>
              </w:rPr>
              <w:t>Y</w:t>
            </w:r>
          </w:p>
        </w:tc>
      </w:tr>
      <w:tr w:rsidR="001C66BF" w:rsidRPr="001C66BF" w14:paraId="24142994" w14:textId="77777777" w:rsidTr="00034F31">
        <w:trPr>
          <w:trHeight w:val="255"/>
        </w:trPr>
        <w:tc>
          <w:tcPr>
            <w:tcW w:w="1766" w:type="dxa"/>
            <w:tcBorders>
              <w:top w:val="nil"/>
              <w:bottom w:val="nil"/>
            </w:tcBorders>
          </w:tcPr>
          <w:p w14:paraId="7D88E8E1" w14:textId="77777777" w:rsidR="001C66BF" w:rsidRPr="001C66BF" w:rsidRDefault="001C66BF" w:rsidP="00034F31">
            <w:pPr>
              <w:spacing w:after="0"/>
              <w:jc w:val="center"/>
              <w:rPr>
                <w:rFonts w:ascii="Bodoni MT" w:hAnsi="Bodoni MT"/>
              </w:rPr>
            </w:pPr>
            <w:r w:rsidRPr="001C66BF">
              <w:rPr>
                <w:rFonts w:ascii="Bodoni MT" w:hAnsi="Bodoni MT"/>
              </w:rPr>
              <w:t>X2</w:t>
            </w:r>
          </w:p>
        </w:tc>
        <w:tc>
          <w:tcPr>
            <w:tcW w:w="1845" w:type="dxa"/>
            <w:vMerge/>
          </w:tcPr>
          <w:p w14:paraId="085AF275" w14:textId="77777777" w:rsidR="001C66BF" w:rsidRPr="001C66BF" w:rsidRDefault="001C66BF" w:rsidP="00034F31">
            <w:pPr>
              <w:spacing w:after="0"/>
              <w:rPr>
                <w:rFonts w:ascii="Bodoni MT" w:hAnsi="Bodoni MT"/>
              </w:rPr>
            </w:pPr>
          </w:p>
        </w:tc>
      </w:tr>
      <w:tr w:rsidR="001C66BF" w:rsidRPr="001C66BF" w14:paraId="786E1B3B" w14:textId="77777777" w:rsidTr="00034F31">
        <w:trPr>
          <w:trHeight w:val="260"/>
        </w:trPr>
        <w:tc>
          <w:tcPr>
            <w:tcW w:w="1766" w:type="dxa"/>
            <w:tcBorders>
              <w:top w:val="nil"/>
            </w:tcBorders>
          </w:tcPr>
          <w:p w14:paraId="348BD9A6" w14:textId="77777777" w:rsidR="001C66BF" w:rsidRPr="001C66BF" w:rsidRDefault="001C66BF" w:rsidP="00034F31">
            <w:pPr>
              <w:spacing w:after="0"/>
              <w:jc w:val="center"/>
              <w:rPr>
                <w:rFonts w:ascii="Bodoni MT" w:hAnsi="Bodoni MT"/>
              </w:rPr>
            </w:pPr>
            <w:r w:rsidRPr="001C66BF">
              <w:rPr>
                <w:rFonts w:ascii="Bodoni MT" w:hAnsi="Bodoni MT"/>
              </w:rPr>
              <w:t>X3</w:t>
            </w:r>
          </w:p>
        </w:tc>
        <w:tc>
          <w:tcPr>
            <w:tcW w:w="1845" w:type="dxa"/>
            <w:vMerge/>
          </w:tcPr>
          <w:p w14:paraId="742988B2" w14:textId="77777777" w:rsidR="001C66BF" w:rsidRPr="001C66BF" w:rsidRDefault="001C66BF" w:rsidP="00034F31">
            <w:pPr>
              <w:spacing w:after="0"/>
              <w:rPr>
                <w:rFonts w:ascii="Bodoni MT" w:hAnsi="Bodoni MT"/>
              </w:rPr>
            </w:pPr>
          </w:p>
        </w:tc>
      </w:tr>
    </w:tbl>
    <w:p w14:paraId="3317AF54" w14:textId="77777777" w:rsidR="001C66BF" w:rsidRPr="001C66BF" w:rsidRDefault="001C66BF" w:rsidP="001C66BF">
      <w:pPr>
        <w:pStyle w:val="Alishlah31text"/>
        <w:ind w:firstLine="0"/>
        <w:rPr>
          <w:rFonts w:ascii="Bodoni MT" w:hAnsi="Bodoni MT"/>
          <w:sz w:val="22"/>
        </w:rPr>
      </w:pPr>
    </w:p>
    <w:p w14:paraId="2EADFDF6" w14:textId="77777777" w:rsidR="001C66BF" w:rsidRPr="001C66BF" w:rsidRDefault="001C66BF" w:rsidP="001C66BF">
      <w:pPr>
        <w:pStyle w:val="Alishlah31text"/>
        <w:rPr>
          <w:rFonts w:ascii="Bodoni MT" w:hAnsi="Bodoni MT"/>
          <w:sz w:val="22"/>
        </w:rPr>
      </w:pPr>
      <w:r w:rsidRPr="001C66BF">
        <w:rPr>
          <w:rFonts w:ascii="Bodoni MT" w:hAnsi="Bodoni MT"/>
          <w:sz w:val="22"/>
        </w:rPr>
        <w:t xml:space="preserve">The instrument used in this research is an essay form learning outcome test of 10 questions about elevation angles and depression angles. Before being given a test of student learning outcomes, students were first given a learning style questionnaire consisting of 22 statements, with details of 8 numbers for visual statements, 7 numbers for </w:t>
      </w:r>
      <w:proofErr w:type="spellStart"/>
      <w:r w:rsidRPr="001C66BF">
        <w:rPr>
          <w:rFonts w:ascii="Bodoni MT" w:hAnsi="Bodoni MT"/>
          <w:sz w:val="22"/>
        </w:rPr>
        <w:t>auditorial</w:t>
      </w:r>
      <w:proofErr w:type="spellEnd"/>
      <w:r w:rsidRPr="001C66BF">
        <w:rPr>
          <w:rFonts w:ascii="Bodoni MT" w:hAnsi="Bodoni MT"/>
          <w:sz w:val="22"/>
        </w:rPr>
        <w:t xml:space="preserve"> statements, and 7 numbers for kinesthetic statements. Before the learning outcomes test and learning style questionnaire are used, they must first be validated by validators (3 </w:t>
      </w:r>
      <w:proofErr w:type="spellStart"/>
      <w:r w:rsidRPr="001C66BF">
        <w:rPr>
          <w:rFonts w:ascii="Bodoni MT" w:hAnsi="Bodoni MT"/>
          <w:sz w:val="22"/>
        </w:rPr>
        <w:t>Pattimura</w:t>
      </w:r>
      <w:proofErr w:type="spellEnd"/>
      <w:r w:rsidRPr="001C66BF">
        <w:rPr>
          <w:rFonts w:ascii="Bodoni MT" w:hAnsi="Bodoni MT"/>
          <w:sz w:val="22"/>
        </w:rPr>
        <w:t xml:space="preserve"> University Mathematics Education Lecturers).</w:t>
      </w:r>
    </w:p>
    <w:p w14:paraId="63F4950A" w14:textId="77777777" w:rsidR="001C66BF" w:rsidRPr="001C66BF" w:rsidRDefault="001C66BF" w:rsidP="001C66BF">
      <w:pPr>
        <w:pStyle w:val="Alishlah31text"/>
        <w:rPr>
          <w:rFonts w:ascii="Bodoni MT" w:hAnsi="Bodoni MT"/>
          <w:sz w:val="22"/>
        </w:rPr>
      </w:pPr>
      <w:r w:rsidRPr="001C66BF">
        <w:rPr>
          <w:rFonts w:ascii="Bodoni MT" w:hAnsi="Bodoni MT"/>
          <w:sz w:val="22"/>
        </w:rPr>
        <w:t>Research data collection was intended to record events or characteristics of some or all elements of the research population. The data used in this study are quantitative, namely data in the form of numbers obtained through a questionnaire with a total of 22 statements and mathematics learning outcomes of tenth-grade students of YPKPM Ambon Christian High School. Learning outcome data was obtained from student test results after working on questions as many as 3 numbers in essay form.</w:t>
      </w:r>
    </w:p>
    <w:p w14:paraId="39069632" w14:textId="77777777" w:rsidR="001C66BF" w:rsidRPr="001C66BF" w:rsidRDefault="001C66BF" w:rsidP="001C66BF">
      <w:pPr>
        <w:pStyle w:val="Alishlah31text"/>
        <w:rPr>
          <w:rFonts w:ascii="Bodoni MT" w:hAnsi="Bodoni MT"/>
          <w:sz w:val="22"/>
        </w:rPr>
      </w:pPr>
      <w:r w:rsidRPr="001C66BF">
        <w:rPr>
          <w:rFonts w:ascii="Bodoni MT" w:hAnsi="Bodoni MT"/>
          <w:sz w:val="22"/>
        </w:rPr>
        <w:t xml:space="preserve">The normality test used in data analysis was the Kolmogorov-Smirnov parametric statistic. Normality test with testing criteria: if the significance level is 0.05, then it can be said that the data is usually distributed. The homogeneity test was carried out as a basis for determining whether the prices of variants in the group are homogeneous or relatively similar. The calculation of homogeneity of variant prices was carried out at the beginning of data analysis activities. This was done to ascertain whether the assumption of homogeneity in each data category has been fulfilled or not. If the homogeneity assumption was proven, it could be done at the advanced data analysis stage. If it had not been fulfilled, the </w:t>
      </w:r>
      <w:proofErr w:type="spellStart"/>
      <w:r w:rsidRPr="001C66BF">
        <w:rPr>
          <w:rFonts w:ascii="Bodoni MT" w:hAnsi="Bodoni MT"/>
          <w:sz w:val="22"/>
        </w:rPr>
        <w:t>Barlett</w:t>
      </w:r>
      <w:proofErr w:type="spellEnd"/>
      <w:r w:rsidRPr="001C66BF">
        <w:rPr>
          <w:rFonts w:ascii="Bodoni MT" w:hAnsi="Bodoni MT"/>
          <w:sz w:val="22"/>
        </w:rPr>
        <w:t xml:space="preserve"> Test can be used.</w:t>
      </w:r>
    </w:p>
    <w:p w14:paraId="4CBCD5C7" w14:textId="64D56674" w:rsidR="001C66BF" w:rsidRPr="001C66BF" w:rsidRDefault="001C66BF" w:rsidP="001C66BF">
      <w:pPr>
        <w:pStyle w:val="Alishlah31text"/>
        <w:rPr>
          <w:rFonts w:ascii="Bodoni MT" w:hAnsi="Bodoni MT"/>
          <w:sz w:val="22"/>
        </w:rPr>
      </w:pPr>
      <w:r w:rsidRPr="001C66BF">
        <w:rPr>
          <w:rFonts w:ascii="Bodoni MT" w:hAnsi="Bodoni MT"/>
          <w:sz w:val="22"/>
        </w:rPr>
        <w:t xml:space="preserve">Hypothesis, according to </w:t>
      </w:r>
      <w:r w:rsidRPr="001C66BF">
        <w:rPr>
          <w:rFonts w:ascii="Bodoni MT" w:hAnsi="Bodoni MT"/>
          <w:sz w:val="22"/>
        </w:rPr>
        <w:fldChar w:fldCharType="begin" w:fldLock="1"/>
      </w:r>
      <w:r w:rsidR="009A2AD0">
        <w:rPr>
          <w:rFonts w:ascii="Bodoni MT" w:hAnsi="Bodoni MT"/>
          <w:sz w:val="22"/>
        </w:rPr>
        <w:instrText>ADDIN CSL_CITATION {"citationItems":[{"id":"ITEM-1","itemData":{"author":[{"dropping-particle":"","family":"K Dayanand","given":"Anupama.","non-dropping-particle":"","parse-names":false,"suffix":""}],"container-title":"International Journal of Nursing Science Practice and Research","id":"ITEM-1","issue":"2","issued":{"date-parts":[["2020"]]},"page":"78-80","title":"Hypothesis Types and Research","type":"article-journal","volume":"4"},"uris":["http://www.mendeley.com/documents/?uuid=e4a1b020-0f18-407e-9a83-75627cdfd355"]}],"mendeley":{"formattedCitation":"(K Dayanand, 2020)","manualFormatting":"K Dayanand (2020)","plainTextFormattedCitation":"(K Dayanand, 2020)","previouslyFormattedCitation":"(K Dayanand, 2020)"},"properties":{"noteIndex":0},"schema":"https://github.com/citation-style-language/schema/raw/master/csl-citation.json"}</w:instrText>
      </w:r>
      <w:r w:rsidRPr="001C66BF">
        <w:rPr>
          <w:rFonts w:ascii="Bodoni MT" w:hAnsi="Bodoni MT"/>
          <w:sz w:val="22"/>
        </w:rPr>
        <w:fldChar w:fldCharType="separate"/>
      </w:r>
      <w:r w:rsidRPr="001C66BF">
        <w:rPr>
          <w:rFonts w:ascii="Bodoni MT" w:hAnsi="Bodoni MT"/>
          <w:noProof/>
          <w:sz w:val="22"/>
        </w:rPr>
        <w:t>K Dayanand (2020)</w:t>
      </w:r>
      <w:r w:rsidRPr="001C66BF">
        <w:rPr>
          <w:rFonts w:ascii="Bodoni MT" w:hAnsi="Bodoni MT"/>
          <w:sz w:val="22"/>
        </w:rPr>
        <w:fldChar w:fldCharType="end"/>
      </w:r>
      <w:r w:rsidRPr="001C66BF">
        <w:rPr>
          <w:rFonts w:ascii="Bodoni MT" w:hAnsi="Bodoni MT"/>
          <w:sz w:val="22"/>
        </w:rPr>
        <w:t xml:space="preserve">, is a temporary answer to the formulation of research problems, where the formulation of research problems has been stated in the form of a statement sentence. Therefore, the researcher formulates a hypothesis in each group of visual, </w:t>
      </w:r>
      <w:proofErr w:type="spellStart"/>
      <w:r w:rsidRPr="001C66BF">
        <w:rPr>
          <w:rFonts w:ascii="Bodoni MT" w:hAnsi="Bodoni MT"/>
          <w:sz w:val="22"/>
        </w:rPr>
        <w:t>auditorial</w:t>
      </w:r>
      <w:proofErr w:type="spellEnd"/>
      <w:r w:rsidRPr="001C66BF">
        <w:rPr>
          <w:rFonts w:ascii="Bodoni MT" w:hAnsi="Bodoni MT"/>
          <w:sz w:val="22"/>
        </w:rPr>
        <w:t xml:space="preserve">, and kinesthetic learning styles as follows. </w:t>
      </w:r>
      <w:r w:rsidRPr="001C66BF">
        <w:rPr>
          <w:rFonts w:ascii="Cambria Math" w:hAnsi="Cambria Math" w:cs="Cambria Math"/>
          <w:sz w:val="22"/>
        </w:rPr>
        <w:t>𝐻</w:t>
      </w:r>
      <w:r w:rsidRPr="001C66BF">
        <w:rPr>
          <w:rFonts w:ascii="Bodoni MT" w:hAnsi="Bodoni MT" w:cs="Cambria Math"/>
          <w:sz w:val="22"/>
        </w:rPr>
        <w:t>0</w:t>
      </w:r>
      <w:r w:rsidRPr="001C66BF">
        <w:rPr>
          <w:rFonts w:ascii="Bodoni MT" w:hAnsi="Bodoni MT"/>
          <w:sz w:val="22"/>
        </w:rPr>
        <w:t xml:space="preserve">: there is no significant difference in learning outcomes of trigonometric comparison in right triangles before and after the test. </w:t>
      </w:r>
      <w:r w:rsidRPr="001C66BF">
        <w:rPr>
          <w:rFonts w:ascii="Cambria Math" w:hAnsi="Cambria Math" w:cs="Cambria Math"/>
          <w:sz w:val="22"/>
        </w:rPr>
        <w:t>𝐻</w:t>
      </w:r>
      <w:r w:rsidRPr="001C66BF">
        <w:rPr>
          <w:rFonts w:ascii="Bodoni MT" w:hAnsi="Bodoni MT" w:cs="Cambria Math"/>
          <w:sz w:val="22"/>
        </w:rPr>
        <w:t>1</w:t>
      </w:r>
      <w:r w:rsidRPr="001C66BF">
        <w:rPr>
          <w:rFonts w:ascii="Bodoni MT" w:hAnsi="Bodoni MT"/>
          <w:sz w:val="22"/>
        </w:rPr>
        <w:t xml:space="preserve">: there is a substantial difference in learning outcomes of trigonometric comparison in right triangles before and after the test. The basis for decision making: Ho is accepted, and H1 is rejected, or </w:t>
      </w:r>
      <w:proofErr w:type="gramStart"/>
      <w:r w:rsidRPr="001C66BF">
        <w:rPr>
          <w:rFonts w:ascii="Bodoni MT" w:hAnsi="Bodoni MT"/>
          <w:sz w:val="22"/>
        </w:rPr>
        <w:t>Sig .</w:t>
      </w:r>
      <w:proofErr w:type="gramEnd"/>
      <w:r w:rsidRPr="001C66BF">
        <w:rPr>
          <w:rFonts w:ascii="Bodoni MT" w:hAnsi="Bodoni MT"/>
          <w:sz w:val="22"/>
        </w:rPr>
        <w:t xml:space="preserve">&gt; </w:t>
      </w:r>
      <w:r w:rsidRPr="001C66BF">
        <w:rPr>
          <w:rFonts w:ascii="Times New Roman" w:hAnsi="Times New Roman"/>
          <w:sz w:val="22"/>
        </w:rPr>
        <w:t>α</w:t>
      </w:r>
      <w:r w:rsidRPr="001C66BF">
        <w:rPr>
          <w:rFonts w:ascii="Bodoni MT" w:hAnsi="Bodoni MT"/>
          <w:sz w:val="22"/>
        </w:rPr>
        <w:t xml:space="preserve"> (</w:t>
      </w:r>
      <w:r w:rsidRPr="001C66BF">
        <w:rPr>
          <w:rFonts w:ascii="Times New Roman" w:hAnsi="Times New Roman"/>
          <w:sz w:val="22"/>
        </w:rPr>
        <w:t>α</w:t>
      </w:r>
      <w:r w:rsidRPr="001C66BF">
        <w:rPr>
          <w:rFonts w:ascii="Bodoni MT" w:hAnsi="Bodoni MT"/>
          <w:sz w:val="22"/>
        </w:rPr>
        <w:t xml:space="preserve">=0.05) Ho is rejected, and H1 is accepted or Sig. &lt; </w:t>
      </w:r>
      <w:r w:rsidRPr="001C66BF">
        <w:rPr>
          <w:rFonts w:ascii="Times New Roman" w:hAnsi="Times New Roman"/>
          <w:sz w:val="22"/>
        </w:rPr>
        <w:t>α</w:t>
      </w:r>
      <w:r w:rsidRPr="001C66BF">
        <w:rPr>
          <w:rFonts w:ascii="Bodoni MT" w:hAnsi="Bodoni MT"/>
          <w:sz w:val="22"/>
        </w:rPr>
        <w:t xml:space="preserve"> From the research conducted, the data obtained shows that the data is not normally </w:t>
      </w:r>
      <w:r w:rsidRPr="001C66BF">
        <w:rPr>
          <w:rFonts w:ascii="Bodoni MT" w:hAnsi="Bodoni MT"/>
          <w:sz w:val="22"/>
        </w:rPr>
        <w:lastRenderedPageBreak/>
        <w:t xml:space="preserve">distributed. For data that was not normally distributed, after the </w:t>
      </w:r>
      <w:proofErr w:type="spellStart"/>
      <w:r w:rsidRPr="001C66BF">
        <w:rPr>
          <w:rFonts w:ascii="Bodoni MT" w:hAnsi="Bodoni MT"/>
          <w:sz w:val="22"/>
        </w:rPr>
        <w:t>Kruskal</w:t>
      </w:r>
      <w:proofErr w:type="spellEnd"/>
      <w:r w:rsidRPr="001C66BF">
        <w:rPr>
          <w:rFonts w:ascii="Bodoni MT" w:hAnsi="Bodoni MT"/>
          <w:sz w:val="22"/>
        </w:rPr>
        <w:t>-Wallis test, it was continued with the Mann-Whitney test.</w:t>
      </w:r>
    </w:p>
    <w:p w14:paraId="0362166D" w14:textId="77777777" w:rsidR="001C66BF" w:rsidRPr="001C66BF" w:rsidRDefault="001C66BF" w:rsidP="001C66BF">
      <w:pPr>
        <w:pStyle w:val="Alishlah31text"/>
        <w:rPr>
          <w:rFonts w:ascii="Bodoni MT" w:hAnsi="Bodoni MT"/>
          <w:sz w:val="22"/>
        </w:rPr>
      </w:pPr>
      <w:r w:rsidRPr="001C66BF">
        <w:rPr>
          <w:rFonts w:ascii="Bodoni MT" w:hAnsi="Bodoni MT"/>
          <w:sz w:val="22"/>
        </w:rPr>
        <w:t xml:space="preserve">To test data that is more than 2 groups, we use the Post Hoc test. The data obtained from the research showed that the data was not normally distributed. Data that is not normally distributed after the </w:t>
      </w:r>
      <w:proofErr w:type="spellStart"/>
      <w:r w:rsidRPr="001C66BF">
        <w:rPr>
          <w:rFonts w:ascii="Bodoni MT" w:hAnsi="Bodoni MT"/>
          <w:sz w:val="22"/>
        </w:rPr>
        <w:t>Kruskal</w:t>
      </w:r>
      <w:proofErr w:type="spellEnd"/>
      <w:r w:rsidRPr="001C66BF">
        <w:rPr>
          <w:rFonts w:ascii="Bodoni MT" w:hAnsi="Bodoni MT"/>
          <w:sz w:val="22"/>
        </w:rPr>
        <w:t xml:space="preserve"> Wallis test is continued with the Mann-Whitney test as a Post Hoc test on the </w:t>
      </w:r>
      <w:proofErr w:type="spellStart"/>
      <w:r w:rsidRPr="001C66BF">
        <w:rPr>
          <w:rFonts w:ascii="Bodoni MT" w:hAnsi="Bodoni MT"/>
          <w:sz w:val="22"/>
        </w:rPr>
        <w:t>Kruskal</w:t>
      </w:r>
      <w:proofErr w:type="spellEnd"/>
      <w:r w:rsidRPr="001C66BF">
        <w:rPr>
          <w:rFonts w:ascii="Bodoni MT" w:hAnsi="Bodoni MT"/>
          <w:sz w:val="22"/>
        </w:rPr>
        <w:t xml:space="preserve"> Wallis test. Researchers formulated the research hypothesis as follows. </w:t>
      </w:r>
      <w:r w:rsidRPr="001C66BF">
        <w:rPr>
          <w:rFonts w:ascii="Cambria Math" w:hAnsi="Cambria Math" w:cs="Cambria Math"/>
          <w:sz w:val="22"/>
        </w:rPr>
        <w:t>𝐻</w:t>
      </w:r>
      <w:r w:rsidRPr="001C66BF">
        <w:rPr>
          <w:rFonts w:ascii="Bodoni MT" w:hAnsi="Bodoni MT" w:cs="Cambria Math"/>
          <w:sz w:val="22"/>
        </w:rPr>
        <w:t>0</w:t>
      </w:r>
      <w:r w:rsidRPr="001C66BF">
        <w:rPr>
          <w:rFonts w:ascii="Bodoni MT" w:hAnsi="Bodoni MT"/>
          <w:sz w:val="22"/>
        </w:rPr>
        <w:t xml:space="preserve">: there is no significant difference in learning outcomes of trigonometric comparison in right triangles in terms of visual, </w:t>
      </w:r>
      <w:proofErr w:type="spellStart"/>
      <w:r w:rsidRPr="001C66BF">
        <w:rPr>
          <w:rFonts w:ascii="Bodoni MT" w:hAnsi="Bodoni MT"/>
          <w:sz w:val="22"/>
        </w:rPr>
        <w:t>auditorial</w:t>
      </w:r>
      <w:proofErr w:type="spellEnd"/>
      <w:r w:rsidRPr="001C66BF">
        <w:rPr>
          <w:rFonts w:ascii="Bodoni MT" w:hAnsi="Bodoni MT"/>
          <w:sz w:val="22"/>
        </w:rPr>
        <w:t xml:space="preserve">, and kinesthetic learning styles. </w:t>
      </w:r>
      <w:r w:rsidRPr="001C66BF">
        <w:rPr>
          <w:rFonts w:ascii="Cambria Math" w:hAnsi="Cambria Math" w:cs="Cambria Math"/>
          <w:sz w:val="22"/>
        </w:rPr>
        <w:t>𝐻</w:t>
      </w:r>
      <w:r w:rsidRPr="001C66BF">
        <w:rPr>
          <w:rFonts w:ascii="Bodoni MT" w:hAnsi="Bodoni MT" w:cs="Cambria Math"/>
          <w:sz w:val="22"/>
        </w:rPr>
        <w:t>1</w:t>
      </w:r>
      <w:r w:rsidRPr="001C66BF">
        <w:rPr>
          <w:rFonts w:ascii="Bodoni MT" w:hAnsi="Bodoni MT"/>
          <w:sz w:val="22"/>
        </w:rPr>
        <w:t xml:space="preserve">: there is a substantial difference in learning outcomes of trigonometric comparison in right triangles in terms of visual, </w:t>
      </w:r>
      <w:proofErr w:type="spellStart"/>
      <w:r w:rsidRPr="001C66BF">
        <w:rPr>
          <w:rFonts w:ascii="Bodoni MT" w:hAnsi="Bodoni MT"/>
          <w:sz w:val="22"/>
        </w:rPr>
        <w:t>auditorial</w:t>
      </w:r>
      <w:proofErr w:type="spellEnd"/>
      <w:r w:rsidRPr="001C66BF">
        <w:rPr>
          <w:rFonts w:ascii="Bodoni MT" w:hAnsi="Bodoni MT"/>
          <w:sz w:val="22"/>
        </w:rPr>
        <w:t xml:space="preserve">, and kinesthetic learning styles. Basic decision making: Ho is accepted, and H1 is rejected or Sig.&gt; </w:t>
      </w:r>
      <w:r w:rsidRPr="001C66BF">
        <w:rPr>
          <w:rFonts w:ascii="Times New Roman" w:hAnsi="Times New Roman"/>
          <w:sz w:val="22"/>
        </w:rPr>
        <w:t>α</w:t>
      </w:r>
      <w:r w:rsidRPr="001C66BF">
        <w:rPr>
          <w:rFonts w:ascii="Bodoni MT" w:hAnsi="Bodoni MT"/>
          <w:sz w:val="22"/>
        </w:rPr>
        <w:t xml:space="preserve"> (</w:t>
      </w:r>
      <w:r w:rsidRPr="001C66BF">
        <w:rPr>
          <w:rFonts w:ascii="Times New Roman" w:hAnsi="Times New Roman"/>
          <w:sz w:val="22"/>
        </w:rPr>
        <w:t>α</w:t>
      </w:r>
      <w:r w:rsidRPr="001C66BF">
        <w:rPr>
          <w:rFonts w:ascii="Bodoni MT" w:hAnsi="Bodoni MT"/>
          <w:sz w:val="22"/>
        </w:rPr>
        <w:t xml:space="preserve">=0.05) Ho is rejected, and H1 is accepted or Sig. &lt; </w:t>
      </w:r>
      <w:r w:rsidRPr="001C66BF">
        <w:rPr>
          <w:rFonts w:ascii="Times New Roman" w:hAnsi="Times New Roman"/>
          <w:sz w:val="22"/>
        </w:rPr>
        <w:t>α</w:t>
      </w:r>
      <w:r w:rsidRPr="001C66BF">
        <w:rPr>
          <w:rFonts w:ascii="Bodoni MT" w:hAnsi="Bodoni MT"/>
          <w:sz w:val="22"/>
        </w:rPr>
        <w:t>.</w:t>
      </w:r>
    </w:p>
    <w:p w14:paraId="2C2C1F8E" w14:textId="77777777" w:rsidR="001C66BF" w:rsidRDefault="001C66BF" w:rsidP="001C66BF">
      <w:pPr>
        <w:pBdr>
          <w:top w:val="nil"/>
          <w:left w:val="nil"/>
          <w:bottom w:val="nil"/>
          <w:right w:val="nil"/>
          <w:between w:val="nil"/>
        </w:pBdr>
        <w:spacing w:after="40" w:line="276" w:lineRule="auto"/>
        <w:jc w:val="both"/>
        <w:rPr>
          <w:rFonts w:ascii="Bodoni" w:eastAsia="Bodoni" w:hAnsi="Bodoni" w:cs="Bodoni"/>
          <w:color w:val="000000"/>
          <w:lang w:val="en-US"/>
        </w:rPr>
      </w:pPr>
    </w:p>
    <w:p w14:paraId="6AC59901" w14:textId="6A106CC6" w:rsidR="00B35D94" w:rsidRPr="00412D5D" w:rsidRDefault="00412D5D">
      <w:pPr>
        <w:pBdr>
          <w:top w:val="nil"/>
          <w:left w:val="nil"/>
          <w:bottom w:val="nil"/>
          <w:right w:val="nil"/>
          <w:between w:val="nil"/>
        </w:pBdr>
        <w:spacing w:after="40" w:line="276" w:lineRule="auto"/>
        <w:jc w:val="both"/>
        <w:rPr>
          <w:rFonts w:ascii="Bodoni" w:eastAsia="Bodoni" w:hAnsi="Bodoni" w:cs="Bodoni"/>
          <w:color w:val="FF0000"/>
          <w:lang w:val="en-US"/>
        </w:rPr>
      </w:pPr>
      <w:r w:rsidRPr="00412D5D">
        <w:rPr>
          <w:rFonts w:ascii="Bodoni" w:eastAsia="Bodoni" w:hAnsi="Bodoni" w:cs="Bodoni"/>
          <w:b/>
          <w:color w:val="000000"/>
        </w:rPr>
        <w:t xml:space="preserve">RESULTS AND DISCUSSION </w:t>
      </w:r>
    </w:p>
    <w:p w14:paraId="499E7351" w14:textId="77777777" w:rsidR="00412D5D" w:rsidRPr="00412D5D" w:rsidRDefault="00034F31" w:rsidP="00412D5D">
      <w:pPr>
        <w:pBdr>
          <w:top w:val="nil"/>
          <w:left w:val="nil"/>
          <w:bottom w:val="nil"/>
          <w:right w:val="nil"/>
          <w:between w:val="nil"/>
        </w:pBdr>
        <w:spacing w:after="0" w:line="276" w:lineRule="auto"/>
        <w:ind w:firstLine="567"/>
        <w:jc w:val="both"/>
        <w:rPr>
          <w:rFonts w:ascii="Bodoni MT" w:eastAsia="Bodoni" w:hAnsi="Bodoni MT" w:cs="Bodoni"/>
          <w:color w:val="000000"/>
          <w:lang w:val="en-US"/>
        </w:rPr>
      </w:pPr>
      <w:r w:rsidRPr="00412D5D">
        <w:rPr>
          <w:rFonts w:ascii="Bodoni MT" w:eastAsia="Bodoni" w:hAnsi="Bodoni MT" w:cs="Bodoni"/>
          <w:color w:val="000000"/>
        </w:rPr>
        <w:t xml:space="preserve">Bagian ini merupakan bagian utama artikel hasil penelitian dan biasanya merupakan bagian terpanjang dari suatu artikel. Hasil penelitian yang disajikan dalam bagian ini adalah hasil “bersih”. Proses analisis data seperti perhitungan statistik dan proses pengujian hipotesis tidak perlu disajikan. Hanya hasil analisis dan hasil pengujian hipotesis saja yang perlu dilaporkan. Tabel dan grafik dapat digunakan untuk memperjelas penyajian hasil penelitian secara verbal. Tabel dan grafik harus diberi komentar atau dibahas. </w:t>
      </w:r>
    </w:p>
    <w:p w14:paraId="2CF295E1" w14:textId="5EBAC6A9" w:rsidR="001C66BF" w:rsidRPr="00412D5D" w:rsidRDefault="001C66BF" w:rsidP="00412D5D">
      <w:pPr>
        <w:pBdr>
          <w:top w:val="nil"/>
          <w:left w:val="nil"/>
          <w:bottom w:val="nil"/>
          <w:right w:val="nil"/>
          <w:between w:val="nil"/>
        </w:pBdr>
        <w:spacing w:after="0" w:line="276" w:lineRule="auto"/>
        <w:ind w:firstLine="567"/>
        <w:jc w:val="both"/>
        <w:rPr>
          <w:rFonts w:ascii="Bodoni MT" w:eastAsia="Bodoni" w:hAnsi="Bodoni MT" w:cs="Bodoni"/>
          <w:color w:val="000000"/>
          <w:lang w:val="en-US"/>
        </w:rPr>
      </w:pPr>
      <w:r w:rsidRPr="00412D5D">
        <w:rPr>
          <w:rFonts w:ascii="Bodoni MT" w:hAnsi="Bodoni MT"/>
        </w:rPr>
        <w:t>Based on the results of descriptive statistical data processing, the following data were obtained. 1) The average math learning outcomes of students who have a visual learning style is 70.09; 2) The average mathematics learning outcomes of students who have an auditorial learning style is 71.72; 3) The average mathematics learning outcomes of students who have a kinesthetic learning style is 69.29. Based on the results of the questionnaire distributed to 77 students of the X-MIA class, YPKPM Ambon Christian High School, the results are shown in Table 2.</w:t>
      </w:r>
    </w:p>
    <w:p w14:paraId="716C9DAB" w14:textId="77777777" w:rsidR="001C66BF" w:rsidRPr="00412D5D" w:rsidRDefault="001C66BF" w:rsidP="001C66BF">
      <w:pPr>
        <w:pStyle w:val="Heading1"/>
        <w:spacing w:before="1" w:after="0" w:line="240" w:lineRule="auto"/>
        <w:ind w:left="821"/>
        <w:jc w:val="center"/>
        <w:rPr>
          <w:rFonts w:ascii="Bodoni MT" w:hAnsi="Bodoni MT"/>
          <w:b w:val="0"/>
          <w:sz w:val="22"/>
          <w:szCs w:val="22"/>
        </w:rPr>
      </w:pPr>
    </w:p>
    <w:p w14:paraId="6EE9AD84" w14:textId="77777777" w:rsidR="001C66BF" w:rsidRPr="00412D5D" w:rsidRDefault="001C66BF" w:rsidP="001C66BF">
      <w:pPr>
        <w:pStyle w:val="Heading1"/>
        <w:spacing w:before="1" w:after="0" w:line="240" w:lineRule="auto"/>
        <w:ind w:left="821"/>
        <w:jc w:val="center"/>
        <w:rPr>
          <w:rFonts w:ascii="Bodoni MT" w:hAnsi="Bodoni MT"/>
          <w:b w:val="0"/>
          <w:sz w:val="22"/>
          <w:szCs w:val="22"/>
        </w:rPr>
      </w:pPr>
      <w:r w:rsidRPr="00412D5D">
        <w:rPr>
          <w:rFonts w:ascii="Bodoni MT" w:hAnsi="Bodoni MT"/>
          <w:b w:val="0"/>
          <w:sz w:val="22"/>
          <w:szCs w:val="22"/>
        </w:rPr>
        <w:t>Table 2. Results of Student Grouping Based on Learning Style</w:t>
      </w:r>
    </w:p>
    <w:tbl>
      <w:tblPr>
        <w:tblW w:w="0" w:type="auto"/>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2497"/>
        <w:gridCol w:w="1559"/>
        <w:gridCol w:w="2592"/>
      </w:tblGrid>
      <w:tr w:rsidR="001C66BF" w:rsidRPr="00412D5D" w14:paraId="30D9C738" w14:textId="77777777" w:rsidTr="00034F31">
        <w:trPr>
          <w:trHeight w:val="230"/>
          <w:jc w:val="center"/>
        </w:trPr>
        <w:tc>
          <w:tcPr>
            <w:tcW w:w="2497" w:type="dxa"/>
          </w:tcPr>
          <w:p w14:paraId="15B29FA9" w14:textId="77777777" w:rsidR="001C66BF" w:rsidRPr="00412D5D" w:rsidRDefault="001C66BF" w:rsidP="00034F31">
            <w:pPr>
              <w:pStyle w:val="TableParagraph"/>
              <w:ind w:left="230"/>
              <w:jc w:val="center"/>
              <w:rPr>
                <w:rFonts w:ascii="Bodoni MT" w:hAnsi="Bodoni MT"/>
                <w:b/>
              </w:rPr>
            </w:pPr>
            <w:r w:rsidRPr="00412D5D">
              <w:rPr>
                <w:rFonts w:ascii="Bodoni MT" w:hAnsi="Bodoni MT"/>
                <w:b/>
              </w:rPr>
              <w:t>Learning Style Group</w:t>
            </w:r>
          </w:p>
        </w:tc>
        <w:tc>
          <w:tcPr>
            <w:tcW w:w="1559" w:type="dxa"/>
          </w:tcPr>
          <w:p w14:paraId="00A3CFDE" w14:textId="77777777" w:rsidR="001C66BF" w:rsidRPr="00412D5D" w:rsidRDefault="001C66BF" w:rsidP="00034F31">
            <w:pPr>
              <w:pStyle w:val="TableParagraph"/>
              <w:ind w:left="172" w:right="158"/>
              <w:jc w:val="center"/>
              <w:rPr>
                <w:rFonts w:ascii="Bodoni MT" w:hAnsi="Bodoni MT"/>
                <w:b/>
              </w:rPr>
            </w:pPr>
            <w:r w:rsidRPr="00412D5D">
              <w:rPr>
                <w:rFonts w:ascii="Bodoni MT" w:hAnsi="Bodoni MT"/>
                <w:b/>
              </w:rPr>
              <w:t>Number of Students</w:t>
            </w:r>
          </w:p>
        </w:tc>
        <w:tc>
          <w:tcPr>
            <w:tcW w:w="2592" w:type="dxa"/>
          </w:tcPr>
          <w:p w14:paraId="276A3757" w14:textId="77777777" w:rsidR="001C66BF" w:rsidRPr="00412D5D" w:rsidRDefault="001C66BF" w:rsidP="00034F31">
            <w:pPr>
              <w:pStyle w:val="TableParagraph"/>
              <w:ind w:left="150" w:right="138"/>
              <w:jc w:val="center"/>
              <w:rPr>
                <w:rFonts w:ascii="Bodoni MT" w:hAnsi="Bodoni MT"/>
                <w:b/>
              </w:rPr>
            </w:pPr>
            <w:r w:rsidRPr="00412D5D">
              <w:rPr>
                <w:rFonts w:ascii="Bodoni MT" w:hAnsi="Bodoni MT"/>
                <w:b/>
              </w:rPr>
              <w:t>Percentage</w:t>
            </w:r>
          </w:p>
        </w:tc>
      </w:tr>
      <w:tr w:rsidR="001C66BF" w:rsidRPr="00412D5D" w14:paraId="15701282" w14:textId="77777777" w:rsidTr="00034F31">
        <w:trPr>
          <w:trHeight w:val="230"/>
          <w:jc w:val="center"/>
        </w:trPr>
        <w:tc>
          <w:tcPr>
            <w:tcW w:w="2497" w:type="dxa"/>
            <w:tcBorders>
              <w:bottom w:val="nil"/>
            </w:tcBorders>
          </w:tcPr>
          <w:p w14:paraId="2DBC80AE" w14:textId="77777777" w:rsidR="001C66BF" w:rsidRPr="00412D5D" w:rsidRDefault="001C66BF" w:rsidP="00034F31">
            <w:pPr>
              <w:pStyle w:val="TableParagraph"/>
              <w:ind w:left="105"/>
              <w:rPr>
                <w:rFonts w:ascii="Bodoni MT" w:hAnsi="Bodoni MT"/>
              </w:rPr>
            </w:pPr>
            <w:r w:rsidRPr="00412D5D">
              <w:rPr>
                <w:rFonts w:ascii="Bodoni MT" w:hAnsi="Bodoni MT"/>
              </w:rPr>
              <w:t>Visual Group</w:t>
            </w:r>
          </w:p>
        </w:tc>
        <w:tc>
          <w:tcPr>
            <w:tcW w:w="1559" w:type="dxa"/>
            <w:tcBorders>
              <w:bottom w:val="nil"/>
            </w:tcBorders>
          </w:tcPr>
          <w:p w14:paraId="33A1606D" w14:textId="77777777" w:rsidR="001C66BF" w:rsidRPr="00412D5D" w:rsidRDefault="001C66BF" w:rsidP="00034F31">
            <w:pPr>
              <w:pStyle w:val="TableParagraph"/>
              <w:ind w:left="167" w:right="158"/>
              <w:jc w:val="center"/>
              <w:rPr>
                <w:rFonts w:ascii="Bodoni MT" w:hAnsi="Bodoni MT"/>
              </w:rPr>
            </w:pPr>
            <w:r w:rsidRPr="00412D5D">
              <w:rPr>
                <w:rFonts w:ascii="Bodoni MT" w:hAnsi="Bodoni MT"/>
              </w:rPr>
              <w:t>23</w:t>
            </w:r>
          </w:p>
        </w:tc>
        <w:tc>
          <w:tcPr>
            <w:tcW w:w="2592" w:type="dxa"/>
            <w:tcBorders>
              <w:bottom w:val="nil"/>
            </w:tcBorders>
          </w:tcPr>
          <w:p w14:paraId="50FD032F" w14:textId="77777777" w:rsidR="001C66BF" w:rsidRPr="00412D5D" w:rsidRDefault="001C66BF" w:rsidP="00034F31">
            <w:pPr>
              <w:pStyle w:val="TableParagraph"/>
              <w:ind w:left="150" w:right="134"/>
              <w:jc w:val="center"/>
              <w:rPr>
                <w:rFonts w:ascii="Bodoni MT" w:hAnsi="Bodoni MT"/>
              </w:rPr>
            </w:pPr>
            <w:r w:rsidRPr="00412D5D">
              <w:rPr>
                <w:rFonts w:ascii="Bodoni MT" w:hAnsi="Bodoni MT"/>
              </w:rPr>
              <w:t>29,9%</w:t>
            </w:r>
          </w:p>
        </w:tc>
      </w:tr>
      <w:tr w:rsidR="001C66BF" w:rsidRPr="00412D5D" w14:paraId="216FEC98" w14:textId="77777777" w:rsidTr="00034F31">
        <w:trPr>
          <w:trHeight w:val="230"/>
          <w:jc w:val="center"/>
        </w:trPr>
        <w:tc>
          <w:tcPr>
            <w:tcW w:w="2497" w:type="dxa"/>
            <w:tcBorders>
              <w:top w:val="nil"/>
              <w:bottom w:val="nil"/>
            </w:tcBorders>
          </w:tcPr>
          <w:p w14:paraId="0782BABB" w14:textId="77777777" w:rsidR="001C66BF" w:rsidRPr="00412D5D" w:rsidRDefault="001C66BF" w:rsidP="00034F31">
            <w:pPr>
              <w:pStyle w:val="TableParagraph"/>
              <w:ind w:left="105"/>
              <w:rPr>
                <w:rFonts w:ascii="Bodoni MT" w:hAnsi="Bodoni MT"/>
              </w:rPr>
            </w:pPr>
            <w:proofErr w:type="spellStart"/>
            <w:r w:rsidRPr="00412D5D">
              <w:rPr>
                <w:rFonts w:ascii="Bodoni MT" w:hAnsi="Bodoni MT"/>
              </w:rPr>
              <w:t>Auditorial</w:t>
            </w:r>
            <w:proofErr w:type="spellEnd"/>
            <w:r w:rsidRPr="00412D5D">
              <w:rPr>
                <w:rFonts w:ascii="Bodoni MT" w:hAnsi="Bodoni MT"/>
              </w:rPr>
              <w:t xml:space="preserve"> Group</w:t>
            </w:r>
          </w:p>
        </w:tc>
        <w:tc>
          <w:tcPr>
            <w:tcW w:w="1559" w:type="dxa"/>
            <w:tcBorders>
              <w:top w:val="nil"/>
              <w:bottom w:val="nil"/>
            </w:tcBorders>
          </w:tcPr>
          <w:p w14:paraId="3D423F92" w14:textId="77777777" w:rsidR="001C66BF" w:rsidRPr="00412D5D" w:rsidRDefault="001C66BF" w:rsidP="00034F31">
            <w:pPr>
              <w:pStyle w:val="TableParagraph"/>
              <w:ind w:left="167" w:right="158"/>
              <w:jc w:val="center"/>
              <w:rPr>
                <w:rFonts w:ascii="Bodoni MT" w:hAnsi="Bodoni MT"/>
              </w:rPr>
            </w:pPr>
            <w:r w:rsidRPr="00412D5D">
              <w:rPr>
                <w:rFonts w:ascii="Bodoni MT" w:hAnsi="Bodoni MT"/>
              </w:rPr>
              <w:t>41</w:t>
            </w:r>
          </w:p>
        </w:tc>
        <w:tc>
          <w:tcPr>
            <w:tcW w:w="2592" w:type="dxa"/>
            <w:tcBorders>
              <w:top w:val="nil"/>
              <w:bottom w:val="nil"/>
            </w:tcBorders>
          </w:tcPr>
          <w:p w14:paraId="318DA140" w14:textId="77777777" w:rsidR="001C66BF" w:rsidRPr="00412D5D" w:rsidRDefault="001C66BF" w:rsidP="00034F31">
            <w:pPr>
              <w:pStyle w:val="TableParagraph"/>
              <w:ind w:left="150" w:right="134"/>
              <w:jc w:val="center"/>
              <w:rPr>
                <w:rFonts w:ascii="Bodoni MT" w:hAnsi="Bodoni MT"/>
              </w:rPr>
            </w:pPr>
            <w:r w:rsidRPr="00412D5D">
              <w:rPr>
                <w:rFonts w:ascii="Bodoni MT" w:hAnsi="Bodoni MT"/>
              </w:rPr>
              <w:t>53,2%</w:t>
            </w:r>
          </w:p>
        </w:tc>
      </w:tr>
      <w:tr w:rsidR="001C66BF" w:rsidRPr="00412D5D" w14:paraId="67501D18" w14:textId="77777777" w:rsidTr="00034F31">
        <w:trPr>
          <w:trHeight w:val="230"/>
          <w:jc w:val="center"/>
        </w:trPr>
        <w:tc>
          <w:tcPr>
            <w:tcW w:w="2497" w:type="dxa"/>
            <w:tcBorders>
              <w:top w:val="nil"/>
            </w:tcBorders>
          </w:tcPr>
          <w:p w14:paraId="5DD43C9D" w14:textId="77777777" w:rsidR="001C66BF" w:rsidRPr="00412D5D" w:rsidRDefault="001C66BF" w:rsidP="00034F31">
            <w:pPr>
              <w:pStyle w:val="TableParagraph"/>
              <w:ind w:left="105"/>
              <w:rPr>
                <w:rFonts w:ascii="Bodoni MT" w:hAnsi="Bodoni MT"/>
              </w:rPr>
            </w:pPr>
            <w:r w:rsidRPr="00412D5D">
              <w:rPr>
                <w:rFonts w:ascii="Bodoni MT" w:hAnsi="Bodoni MT"/>
              </w:rPr>
              <w:t>Kinesthetic Group</w:t>
            </w:r>
          </w:p>
        </w:tc>
        <w:tc>
          <w:tcPr>
            <w:tcW w:w="1559" w:type="dxa"/>
            <w:tcBorders>
              <w:top w:val="nil"/>
            </w:tcBorders>
          </w:tcPr>
          <w:p w14:paraId="3226321F" w14:textId="77777777" w:rsidR="001C66BF" w:rsidRPr="00412D5D" w:rsidRDefault="001C66BF" w:rsidP="00034F31">
            <w:pPr>
              <w:pStyle w:val="TableParagraph"/>
              <w:ind w:left="167" w:right="158"/>
              <w:jc w:val="center"/>
              <w:rPr>
                <w:rFonts w:ascii="Bodoni MT" w:hAnsi="Bodoni MT"/>
              </w:rPr>
            </w:pPr>
            <w:r w:rsidRPr="00412D5D">
              <w:rPr>
                <w:rFonts w:ascii="Bodoni MT" w:hAnsi="Bodoni MT"/>
              </w:rPr>
              <w:t>13</w:t>
            </w:r>
          </w:p>
        </w:tc>
        <w:tc>
          <w:tcPr>
            <w:tcW w:w="2592" w:type="dxa"/>
            <w:tcBorders>
              <w:top w:val="nil"/>
            </w:tcBorders>
          </w:tcPr>
          <w:p w14:paraId="7E5D95FE" w14:textId="77777777" w:rsidR="001C66BF" w:rsidRPr="00412D5D" w:rsidRDefault="001C66BF" w:rsidP="00034F31">
            <w:pPr>
              <w:pStyle w:val="TableParagraph"/>
              <w:ind w:left="150" w:right="134"/>
              <w:jc w:val="center"/>
              <w:rPr>
                <w:rFonts w:ascii="Bodoni MT" w:hAnsi="Bodoni MT"/>
              </w:rPr>
            </w:pPr>
            <w:r w:rsidRPr="00412D5D">
              <w:rPr>
                <w:rFonts w:ascii="Bodoni MT" w:hAnsi="Bodoni MT"/>
              </w:rPr>
              <w:t>16,9%</w:t>
            </w:r>
          </w:p>
        </w:tc>
      </w:tr>
    </w:tbl>
    <w:p w14:paraId="0EFF7CEA" w14:textId="77777777" w:rsidR="00613302" w:rsidRDefault="00613302" w:rsidP="00613302">
      <w:pPr>
        <w:pStyle w:val="Heading2"/>
        <w:keepNext w:val="0"/>
        <w:keepLines w:val="0"/>
        <w:widowControl w:val="0"/>
        <w:tabs>
          <w:tab w:val="left" w:pos="526"/>
        </w:tabs>
        <w:autoSpaceDE w:val="0"/>
        <w:autoSpaceDN w:val="0"/>
        <w:spacing w:before="0" w:after="0" w:line="240" w:lineRule="auto"/>
        <w:rPr>
          <w:rFonts w:ascii="Bodoni MT" w:eastAsia="SimSun" w:hAnsi="Bodoni MT" w:cs="Times New Roman"/>
          <w:sz w:val="22"/>
          <w:szCs w:val="22"/>
          <w:lang w:val="en-US" w:eastAsia="en-US"/>
        </w:rPr>
      </w:pPr>
    </w:p>
    <w:p w14:paraId="498AD546" w14:textId="77777777" w:rsidR="001C66BF" w:rsidRPr="00412D5D" w:rsidRDefault="001C66BF" w:rsidP="00613302">
      <w:pPr>
        <w:pStyle w:val="Heading2"/>
        <w:keepNext w:val="0"/>
        <w:keepLines w:val="0"/>
        <w:widowControl w:val="0"/>
        <w:tabs>
          <w:tab w:val="left" w:pos="526"/>
        </w:tabs>
        <w:autoSpaceDE w:val="0"/>
        <w:autoSpaceDN w:val="0"/>
        <w:spacing w:before="0" w:after="0" w:line="240" w:lineRule="auto"/>
        <w:rPr>
          <w:rFonts w:ascii="Bodoni MT" w:hAnsi="Bodoni MT"/>
          <w:b w:val="0"/>
          <w:i/>
          <w:color w:val="000000" w:themeColor="text1"/>
          <w:sz w:val="22"/>
          <w:szCs w:val="22"/>
        </w:rPr>
      </w:pPr>
      <w:r w:rsidRPr="00412D5D">
        <w:rPr>
          <w:rFonts w:ascii="Bodoni MT" w:hAnsi="Bodoni MT"/>
          <w:i/>
          <w:color w:val="000000" w:themeColor="text1"/>
          <w:sz w:val="22"/>
          <w:szCs w:val="22"/>
        </w:rPr>
        <w:t>Pretest and Post-test Hypothesis Test Results</w:t>
      </w:r>
    </w:p>
    <w:p w14:paraId="3E18CF23" w14:textId="77777777" w:rsidR="00613302" w:rsidRDefault="001C66BF" w:rsidP="00613302">
      <w:pPr>
        <w:pStyle w:val="BodyText"/>
        <w:spacing w:before="37" w:line="276" w:lineRule="auto"/>
        <w:ind w:firstLine="426"/>
        <w:jc w:val="both"/>
        <w:rPr>
          <w:rFonts w:ascii="Bodoni MT" w:hAnsi="Bodoni MT"/>
          <w:sz w:val="22"/>
          <w:szCs w:val="22"/>
        </w:rPr>
      </w:pPr>
      <w:r w:rsidRPr="00412D5D">
        <w:rPr>
          <w:rFonts w:ascii="Bodoni MT" w:hAnsi="Bodoni MT"/>
          <w:sz w:val="22"/>
          <w:szCs w:val="22"/>
        </w:rPr>
        <w:t>The results of the pretest and post-test hypothesis tests from each learning style group can be seen as follows.</w:t>
      </w:r>
    </w:p>
    <w:p w14:paraId="22FFBEDB" w14:textId="77777777" w:rsidR="00613302" w:rsidRDefault="00613302" w:rsidP="00613302">
      <w:pPr>
        <w:pStyle w:val="BodyText"/>
        <w:spacing w:before="37" w:line="276" w:lineRule="auto"/>
        <w:jc w:val="both"/>
        <w:rPr>
          <w:rFonts w:ascii="Bodoni MT" w:hAnsi="Bodoni MT"/>
          <w:sz w:val="22"/>
          <w:szCs w:val="22"/>
        </w:rPr>
      </w:pPr>
    </w:p>
    <w:p w14:paraId="115C4523" w14:textId="58CF47BB" w:rsidR="001C66BF" w:rsidRPr="00613302" w:rsidRDefault="001C66BF" w:rsidP="00613302">
      <w:pPr>
        <w:pStyle w:val="BodyText"/>
        <w:spacing w:before="37" w:line="276" w:lineRule="auto"/>
        <w:jc w:val="both"/>
        <w:rPr>
          <w:rFonts w:ascii="Bodoni MT" w:hAnsi="Bodoni MT"/>
          <w:sz w:val="22"/>
          <w:szCs w:val="22"/>
        </w:rPr>
      </w:pPr>
      <w:r w:rsidRPr="00412D5D">
        <w:rPr>
          <w:rFonts w:ascii="Bodoni MT" w:hAnsi="Bodoni MT"/>
          <w:i/>
          <w:color w:val="000000" w:themeColor="text1"/>
          <w:sz w:val="22"/>
          <w:szCs w:val="22"/>
        </w:rPr>
        <w:t>Prerequisite Tests of Normality and Homogeneity</w:t>
      </w:r>
    </w:p>
    <w:p w14:paraId="1BD51BC5" w14:textId="77777777" w:rsidR="001C66BF" w:rsidRPr="00412D5D" w:rsidRDefault="001C66BF" w:rsidP="001C66BF">
      <w:pPr>
        <w:pStyle w:val="BodyText"/>
        <w:spacing w:before="42" w:line="276" w:lineRule="auto"/>
        <w:ind w:right="109" w:firstLine="426"/>
        <w:jc w:val="both"/>
        <w:rPr>
          <w:rFonts w:ascii="Bodoni MT" w:hAnsi="Bodoni MT"/>
          <w:sz w:val="22"/>
          <w:szCs w:val="22"/>
        </w:rPr>
      </w:pPr>
      <w:r w:rsidRPr="00412D5D">
        <w:rPr>
          <w:rFonts w:ascii="Bodoni MT" w:hAnsi="Bodoni MT"/>
          <w:sz w:val="22"/>
          <w:szCs w:val="22"/>
        </w:rPr>
        <w:t>The following will present tables of pretest and post-test prerequisite test results for each learning style group.</w:t>
      </w:r>
    </w:p>
    <w:p w14:paraId="5997160D" w14:textId="77777777" w:rsidR="001C66BF" w:rsidRPr="00412D5D" w:rsidRDefault="001C66BF" w:rsidP="001C66BF">
      <w:pPr>
        <w:pStyle w:val="Heading2"/>
        <w:keepNext w:val="0"/>
        <w:keepLines w:val="0"/>
        <w:widowControl w:val="0"/>
        <w:tabs>
          <w:tab w:val="left" w:pos="1106"/>
        </w:tabs>
        <w:autoSpaceDE w:val="0"/>
        <w:autoSpaceDN w:val="0"/>
        <w:spacing w:before="0" w:after="37" w:line="267" w:lineRule="exact"/>
        <w:ind w:left="1080"/>
        <w:jc w:val="center"/>
        <w:rPr>
          <w:rFonts w:ascii="Bodoni MT" w:hAnsi="Bodoni MT"/>
          <w:color w:val="000000" w:themeColor="text1"/>
          <w:sz w:val="22"/>
          <w:szCs w:val="22"/>
        </w:rPr>
      </w:pPr>
    </w:p>
    <w:p w14:paraId="48499CF1" w14:textId="77777777" w:rsidR="00613302" w:rsidRDefault="00613302" w:rsidP="001C66BF">
      <w:pPr>
        <w:pStyle w:val="Heading2"/>
        <w:keepNext w:val="0"/>
        <w:keepLines w:val="0"/>
        <w:widowControl w:val="0"/>
        <w:tabs>
          <w:tab w:val="left" w:pos="1106"/>
        </w:tabs>
        <w:autoSpaceDE w:val="0"/>
        <w:autoSpaceDN w:val="0"/>
        <w:spacing w:before="0" w:after="37" w:line="267" w:lineRule="exact"/>
        <w:jc w:val="center"/>
        <w:rPr>
          <w:rFonts w:ascii="Bodoni MT" w:hAnsi="Bodoni MT"/>
          <w:color w:val="000000" w:themeColor="text1"/>
          <w:sz w:val="22"/>
          <w:szCs w:val="22"/>
          <w:lang w:val="en-US"/>
        </w:rPr>
      </w:pPr>
    </w:p>
    <w:p w14:paraId="4B16AB08" w14:textId="77777777" w:rsidR="00613302" w:rsidRDefault="00613302" w:rsidP="001C66BF">
      <w:pPr>
        <w:pStyle w:val="Heading2"/>
        <w:keepNext w:val="0"/>
        <w:keepLines w:val="0"/>
        <w:widowControl w:val="0"/>
        <w:tabs>
          <w:tab w:val="left" w:pos="1106"/>
        </w:tabs>
        <w:autoSpaceDE w:val="0"/>
        <w:autoSpaceDN w:val="0"/>
        <w:spacing w:before="0" w:after="37" w:line="267" w:lineRule="exact"/>
        <w:jc w:val="center"/>
        <w:rPr>
          <w:rFonts w:ascii="Bodoni MT" w:hAnsi="Bodoni MT"/>
          <w:color w:val="000000" w:themeColor="text1"/>
          <w:sz w:val="22"/>
          <w:szCs w:val="22"/>
          <w:lang w:val="en-US"/>
        </w:rPr>
      </w:pPr>
    </w:p>
    <w:p w14:paraId="3FAC37CF" w14:textId="77777777" w:rsidR="00613302" w:rsidRDefault="00613302" w:rsidP="001C66BF">
      <w:pPr>
        <w:pStyle w:val="Heading2"/>
        <w:keepNext w:val="0"/>
        <w:keepLines w:val="0"/>
        <w:widowControl w:val="0"/>
        <w:tabs>
          <w:tab w:val="left" w:pos="1106"/>
        </w:tabs>
        <w:autoSpaceDE w:val="0"/>
        <w:autoSpaceDN w:val="0"/>
        <w:spacing w:before="0" w:after="37" w:line="267" w:lineRule="exact"/>
        <w:jc w:val="center"/>
        <w:rPr>
          <w:rFonts w:ascii="Bodoni MT" w:hAnsi="Bodoni MT"/>
          <w:color w:val="000000" w:themeColor="text1"/>
          <w:sz w:val="22"/>
          <w:szCs w:val="22"/>
          <w:lang w:val="en-US"/>
        </w:rPr>
      </w:pPr>
    </w:p>
    <w:p w14:paraId="1435E77D" w14:textId="77777777" w:rsidR="001C66BF" w:rsidRPr="00412D5D" w:rsidRDefault="001C66BF" w:rsidP="001C66BF">
      <w:pPr>
        <w:pStyle w:val="Heading2"/>
        <w:keepNext w:val="0"/>
        <w:keepLines w:val="0"/>
        <w:widowControl w:val="0"/>
        <w:tabs>
          <w:tab w:val="left" w:pos="1106"/>
        </w:tabs>
        <w:autoSpaceDE w:val="0"/>
        <w:autoSpaceDN w:val="0"/>
        <w:spacing w:before="0" w:after="37" w:line="267" w:lineRule="exact"/>
        <w:jc w:val="center"/>
        <w:rPr>
          <w:rFonts w:ascii="Bodoni MT" w:hAnsi="Bodoni MT"/>
          <w:color w:val="000000" w:themeColor="text1"/>
          <w:sz w:val="22"/>
          <w:szCs w:val="22"/>
        </w:rPr>
      </w:pPr>
      <w:r w:rsidRPr="00412D5D">
        <w:rPr>
          <w:rFonts w:ascii="Bodoni MT" w:hAnsi="Bodoni MT"/>
          <w:color w:val="000000" w:themeColor="text1"/>
          <w:sz w:val="22"/>
          <w:szCs w:val="22"/>
        </w:rPr>
        <w:lastRenderedPageBreak/>
        <w:t>Table 3. Visual Learning Style Prerequisite Test Results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3"/>
        <w:gridCol w:w="1684"/>
        <w:gridCol w:w="711"/>
        <w:gridCol w:w="1182"/>
        <w:gridCol w:w="1517"/>
      </w:tblGrid>
      <w:tr w:rsidR="001C66BF" w:rsidRPr="00412D5D" w14:paraId="6F0EDC21" w14:textId="77777777" w:rsidTr="00034F31">
        <w:trPr>
          <w:trHeight w:val="230"/>
          <w:jc w:val="center"/>
        </w:trPr>
        <w:tc>
          <w:tcPr>
            <w:tcW w:w="1173" w:type="dxa"/>
            <w:vMerge w:val="restart"/>
            <w:tcBorders>
              <w:left w:val="nil"/>
              <w:right w:val="nil"/>
            </w:tcBorders>
          </w:tcPr>
          <w:p w14:paraId="72FE5610" w14:textId="77777777" w:rsidR="001C66BF" w:rsidRPr="00412D5D" w:rsidRDefault="001C66BF" w:rsidP="00034F31">
            <w:pPr>
              <w:pStyle w:val="TableParagraph"/>
              <w:spacing w:before="8"/>
              <w:rPr>
                <w:rFonts w:ascii="Bodoni MT" w:hAnsi="Bodoni MT"/>
                <w:b/>
              </w:rPr>
            </w:pPr>
          </w:p>
          <w:p w14:paraId="223891BC" w14:textId="77777777" w:rsidR="001C66BF" w:rsidRPr="00412D5D" w:rsidRDefault="001C66BF" w:rsidP="00034F31">
            <w:pPr>
              <w:pStyle w:val="TableParagraph"/>
              <w:ind w:left="250"/>
              <w:rPr>
                <w:rFonts w:ascii="Bodoni MT" w:hAnsi="Bodoni MT"/>
                <w:b/>
              </w:rPr>
            </w:pPr>
            <w:r w:rsidRPr="00412D5D">
              <w:rPr>
                <w:rFonts w:ascii="Bodoni MT" w:hAnsi="Bodoni MT"/>
                <w:b/>
              </w:rPr>
              <w:t>Results</w:t>
            </w:r>
          </w:p>
        </w:tc>
        <w:tc>
          <w:tcPr>
            <w:tcW w:w="3577" w:type="dxa"/>
            <w:gridSpan w:val="3"/>
            <w:tcBorders>
              <w:left w:val="nil"/>
              <w:right w:val="nil"/>
            </w:tcBorders>
          </w:tcPr>
          <w:p w14:paraId="6F3B9EC1" w14:textId="77777777" w:rsidR="001C66BF" w:rsidRPr="00412D5D" w:rsidRDefault="001C66BF" w:rsidP="00034F31">
            <w:pPr>
              <w:pStyle w:val="TableParagraph"/>
              <w:ind w:right="1152"/>
              <w:jc w:val="center"/>
              <w:rPr>
                <w:rFonts w:ascii="Bodoni MT" w:hAnsi="Bodoni MT"/>
                <w:b/>
              </w:rPr>
            </w:pPr>
            <w:r w:rsidRPr="00412D5D">
              <w:rPr>
                <w:rFonts w:ascii="Bodoni MT" w:hAnsi="Bodoni MT"/>
                <w:b/>
              </w:rPr>
              <w:t xml:space="preserve">                     Normality</w:t>
            </w:r>
          </w:p>
        </w:tc>
        <w:tc>
          <w:tcPr>
            <w:tcW w:w="1517" w:type="dxa"/>
            <w:vMerge w:val="restart"/>
            <w:tcBorders>
              <w:left w:val="nil"/>
              <w:right w:val="nil"/>
            </w:tcBorders>
          </w:tcPr>
          <w:p w14:paraId="5D463A90" w14:textId="77777777" w:rsidR="001C66BF" w:rsidRPr="00412D5D" w:rsidRDefault="001C66BF" w:rsidP="00034F31">
            <w:pPr>
              <w:pStyle w:val="TableParagraph"/>
              <w:spacing w:before="8"/>
              <w:rPr>
                <w:rFonts w:ascii="Bodoni MT" w:hAnsi="Bodoni MT"/>
                <w:b/>
              </w:rPr>
            </w:pPr>
          </w:p>
          <w:p w14:paraId="6A418817" w14:textId="77777777" w:rsidR="001C66BF" w:rsidRPr="00412D5D" w:rsidRDefault="001C66BF" w:rsidP="00034F31">
            <w:pPr>
              <w:pStyle w:val="TableParagraph"/>
              <w:ind w:left="286"/>
              <w:rPr>
                <w:rFonts w:ascii="Bodoni MT" w:hAnsi="Bodoni MT"/>
                <w:b/>
              </w:rPr>
            </w:pPr>
            <w:r w:rsidRPr="00412D5D">
              <w:rPr>
                <w:rFonts w:ascii="Bodoni MT" w:hAnsi="Bodoni MT"/>
                <w:b/>
              </w:rPr>
              <w:t>Decision</w:t>
            </w:r>
          </w:p>
        </w:tc>
      </w:tr>
      <w:tr w:rsidR="001C66BF" w:rsidRPr="00412D5D" w14:paraId="403C5B15" w14:textId="77777777" w:rsidTr="00034F31">
        <w:trPr>
          <w:trHeight w:val="230"/>
          <w:jc w:val="center"/>
        </w:trPr>
        <w:tc>
          <w:tcPr>
            <w:tcW w:w="1173" w:type="dxa"/>
            <w:vMerge/>
            <w:tcBorders>
              <w:top w:val="nil"/>
              <w:left w:val="nil"/>
              <w:right w:val="nil"/>
            </w:tcBorders>
          </w:tcPr>
          <w:p w14:paraId="281FCEE8" w14:textId="77777777" w:rsidR="001C66BF" w:rsidRPr="00412D5D" w:rsidRDefault="001C66BF" w:rsidP="00034F31">
            <w:pPr>
              <w:rPr>
                <w:rFonts w:ascii="Bodoni MT" w:hAnsi="Bodoni MT"/>
              </w:rPr>
            </w:pPr>
          </w:p>
        </w:tc>
        <w:tc>
          <w:tcPr>
            <w:tcW w:w="3577" w:type="dxa"/>
            <w:gridSpan w:val="3"/>
            <w:tcBorders>
              <w:left w:val="nil"/>
              <w:right w:val="nil"/>
            </w:tcBorders>
          </w:tcPr>
          <w:p w14:paraId="675169EE" w14:textId="77777777" w:rsidR="001C66BF" w:rsidRPr="00412D5D" w:rsidRDefault="001C66BF" w:rsidP="00034F31">
            <w:pPr>
              <w:pStyle w:val="TableParagraph"/>
              <w:ind w:left="774"/>
              <w:rPr>
                <w:rFonts w:ascii="Bodoni MT" w:hAnsi="Bodoni MT"/>
                <w:b/>
              </w:rPr>
            </w:pPr>
            <w:proofErr w:type="spellStart"/>
            <w:r w:rsidRPr="00412D5D">
              <w:rPr>
                <w:rFonts w:ascii="Bodoni MT" w:hAnsi="Bodoni MT"/>
                <w:b/>
              </w:rPr>
              <w:t>Kolmogrov</w:t>
            </w:r>
            <w:proofErr w:type="spellEnd"/>
            <w:r w:rsidRPr="00412D5D">
              <w:rPr>
                <w:rFonts w:ascii="Bodoni MT" w:hAnsi="Bodoni MT"/>
                <w:b/>
              </w:rPr>
              <w:t xml:space="preserve"> Smirnov</w:t>
            </w:r>
          </w:p>
        </w:tc>
        <w:tc>
          <w:tcPr>
            <w:tcW w:w="1517" w:type="dxa"/>
            <w:vMerge/>
            <w:tcBorders>
              <w:top w:val="nil"/>
              <w:left w:val="nil"/>
              <w:right w:val="nil"/>
            </w:tcBorders>
          </w:tcPr>
          <w:p w14:paraId="3959AC86" w14:textId="77777777" w:rsidR="001C66BF" w:rsidRPr="00412D5D" w:rsidRDefault="001C66BF" w:rsidP="00034F31">
            <w:pPr>
              <w:rPr>
                <w:rFonts w:ascii="Bodoni MT" w:hAnsi="Bodoni MT"/>
              </w:rPr>
            </w:pPr>
          </w:p>
        </w:tc>
      </w:tr>
      <w:tr w:rsidR="001C66BF" w:rsidRPr="00412D5D" w14:paraId="50ABDF6A" w14:textId="77777777" w:rsidTr="00034F31">
        <w:trPr>
          <w:trHeight w:val="230"/>
          <w:jc w:val="center"/>
        </w:trPr>
        <w:tc>
          <w:tcPr>
            <w:tcW w:w="1173" w:type="dxa"/>
            <w:vMerge/>
            <w:tcBorders>
              <w:top w:val="nil"/>
              <w:left w:val="nil"/>
              <w:right w:val="nil"/>
            </w:tcBorders>
          </w:tcPr>
          <w:p w14:paraId="667F1CA1" w14:textId="77777777" w:rsidR="001C66BF" w:rsidRPr="00412D5D" w:rsidRDefault="001C66BF" w:rsidP="00034F31">
            <w:pPr>
              <w:rPr>
                <w:rFonts w:ascii="Bodoni MT" w:hAnsi="Bodoni MT"/>
              </w:rPr>
            </w:pPr>
          </w:p>
        </w:tc>
        <w:tc>
          <w:tcPr>
            <w:tcW w:w="1684" w:type="dxa"/>
            <w:tcBorders>
              <w:left w:val="nil"/>
              <w:right w:val="nil"/>
            </w:tcBorders>
          </w:tcPr>
          <w:p w14:paraId="357A2AD3" w14:textId="77777777" w:rsidR="001C66BF" w:rsidRPr="00412D5D" w:rsidRDefault="001C66BF" w:rsidP="00034F31">
            <w:pPr>
              <w:pStyle w:val="TableParagraph"/>
              <w:ind w:left="218" w:right="218"/>
              <w:rPr>
                <w:rFonts w:ascii="Bodoni MT" w:hAnsi="Bodoni MT"/>
                <w:b/>
              </w:rPr>
            </w:pPr>
            <w:r w:rsidRPr="00412D5D">
              <w:rPr>
                <w:rFonts w:ascii="Bodoni MT" w:hAnsi="Bodoni MT"/>
                <w:b/>
              </w:rPr>
              <w:t>Statistics</w:t>
            </w:r>
          </w:p>
        </w:tc>
        <w:tc>
          <w:tcPr>
            <w:tcW w:w="711" w:type="dxa"/>
            <w:tcBorders>
              <w:left w:val="nil"/>
              <w:right w:val="nil"/>
            </w:tcBorders>
          </w:tcPr>
          <w:p w14:paraId="2AC9AE6E" w14:textId="77777777" w:rsidR="001C66BF" w:rsidRPr="00412D5D" w:rsidRDefault="001C66BF" w:rsidP="00034F31">
            <w:pPr>
              <w:pStyle w:val="TableParagraph"/>
              <w:ind w:right="259"/>
              <w:jc w:val="right"/>
              <w:rPr>
                <w:rFonts w:ascii="Bodoni MT" w:hAnsi="Bodoni MT"/>
                <w:b/>
              </w:rPr>
            </w:pPr>
            <w:proofErr w:type="spellStart"/>
            <w:r w:rsidRPr="00412D5D">
              <w:rPr>
                <w:rFonts w:ascii="Bodoni MT" w:hAnsi="Bodoni MT"/>
                <w:b/>
              </w:rPr>
              <w:t>df</w:t>
            </w:r>
            <w:proofErr w:type="spellEnd"/>
          </w:p>
        </w:tc>
        <w:tc>
          <w:tcPr>
            <w:tcW w:w="1182" w:type="dxa"/>
            <w:tcBorders>
              <w:left w:val="nil"/>
              <w:right w:val="nil"/>
            </w:tcBorders>
          </w:tcPr>
          <w:p w14:paraId="16357A45" w14:textId="77777777" w:rsidR="001C66BF" w:rsidRPr="00412D5D" w:rsidRDefault="001C66BF" w:rsidP="00034F31">
            <w:pPr>
              <w:pStyle w:val="TableParagraph"/>
              <w:ind w:left="340" w:right="340"/>
              <w:rPr>
                <w:rFonts w:ascii="Bodoni MT" w:hAnsi="Bodoni MT"/>
                <w:b/>
              </w:rPr>
            </w:pPr>
            <w:r w:rsidRPr="00412D5D">
              <w:rPr>
                <w:rFonts w:ascii="Bodoni MT" w:hAnsi="Bodoni MT"/>
                <w:b/>
              </w:rPr>
              <w:t>Sig.</w:t>
            </w:r>
          </w:p>
        </w:tc>
        <w:tc>
          <w:tcPr>
            <w:tcW w:w="1517" w:type="dxa"/>
            <w:vMerge/>
            <w:tcBorders>
              <w:top w:val="nil"/>
              <w:left w:val="nil"/>
              <w:right w:val="nil"/>
            </w:tcBorders>
          </w:tcPr>
          <w:p w14:paraId="1CA06769" w14:textId="77777777" w:rsidR="001C66BF" w:rsidRPr="00412D5D" w:rsidRDefault="001C66BF" w:rsidP="00034F31">
            <w:pPr>
              <w:rPr>
                <w:rFonts w:ascii="Bodoni MT" w:hAnsi="Bodoni MT"/>
              </w:rPr>
            </w:pPr>
          </w:p>
        </w:tc>
      </w:tr>
      <w:tr w:rsidR="001C66BF" w:rsidRPr="00412D5D" w14:paraId="3F53EBDC" w14:textId="77777777" w:rsidTr="00034F31">
        <w:trPr>
          <w:trHeight w:val="230"/>
          <w:jc w:val="center"/>
        </w:trPr>
        <w:tc>
          <w:tcPr>
            <w:tcW w:w="1173" w:type="dxa"/>
            <w:tcBorders>
              <w:left w:val="nil"/>
              <w:right w:val="nil"/>
            </w:tcBorders>
          </w:tcPr>
          <w:p w14:paraId="6CA6CF28" w14:textId="77777777" w:rsidR="001C66BF" w:rsidRPr="00412D5D" w:rsidRDefault="001C66BF" w:rsidP="00034F31">
            <w:pPr>
              <w:pStyle w:val="TableParagraph"/>
              <w:ind w:left="135" w:right="132"/>
              <w:rPr>
                <w:rFonts w:ascii="Bodoni MT" w:hAnsi="Bodoni MT"/>
              </w:rPr>
            </w:pPr>
            <w:r w:rsidRPr="00412D5D">
              <w:rPr>
                <w:rFonts w:ascii="Bodoni MT" w:hAnsi="Bodoni MT"/>
              </w:rPr>
              <w:t>Pretest</w:t>
            </w:r>
          </w:p>
        </w:tc>
        <w:tc>
          <w:tcPr>
            <w:tcW w:w="1684" w:type="dxa"/>
            <w:tcBorders>
              <w:left w:val="nil"/>
              <w:right w:val="nil"/>
            </w:tcBorders>
          </w:tcPr>
          <w:p w14:paraId="56660FB7" w14:textId="77777777" w:rsidR="001C66BF" w:rsidRPr="00412D5D" w:rsidRDefault="001C66BF" w:rsidP="00034F31">
            <w:pPr>
              <w:pStyle w:val="TableParagraph"/>
              <w:ind w:left="220" w:right="217"/>
              <w:rPr>
                <w:rFonts w:ascii="Bodoni MT" w:hAnsi="Bodoni MT"/>
              </w:rPr>
            </w:pPr>
            <w:r w:rsidRPr="00412D5D">
              <w:rPr>
                <w:rFonts w:ascii="Bodoni MT" w:hAnsi="Bodoni MT"/>
              </w:rPr>
              <w:t>0,188</w:t>
            </w:r>
          </w:p>
        </w:tc>
        <w:tc>
          <w:tcPr>
            <w:tcW w:w="711" w:type="dxa"/>
            <w:tcBorders>
              <w:left w:val="nil"/>
              <w:right w:val="nil"/>
            </w:tcBorders>
          </w:tcPr>
          <w:p w14:paraId="2475C5C2" w14:textId="77777777" w:rsidR="001C66BF" w:rsidRPr="00412D5D" w:rsidRDefault="001C66BF" w:rsidP="00034F31">
            <w:pPr>
              <w:pStyle w:val="TableParagraph"/>
              <w:ind w:right="246"/>
              <w:jc w:val="right"/>
              <w:rPr>
                <w:rFonts w:ascii="Bodoni MT" w:hAnsi="Bodoni MT"/>
              </w:rPr>
            </w:pPr>
            <w:r w:rsidRPr="00412D5D">
              <w:rPr>
                <w:rFonts w:ascii="Bodoni MT" w:hAnsi="Bodoni MT"/>
              </w:rPr>
              <w:t>17</w:t>
            </w:r>
          </w:p>
        </w:tc>
        <w:tc>
          <w:tcPr>
            <w:tcW w:w="1182" w:type="dxa"/>
            <w:tcBorders>
              <w:left w:val="nil"/>
              <w:right w:val="nil"/>
            </w:tcBorders>
          </w:tcPr>
          <w:p w14:paraId="55307AFE" w14:textId="77777777" w:rsidR="001C66BF" w:rsidRPr="00412D5D" w:rsidRDefault="001C66BF" w:rsidP="00034F31">
            <w:pPr>
              <w:pStyle w:val="TableParagraph"/>
              <w:ind w:left="340" w:right="342"/>
              <w:rPr>
                <w:rFonts w:ascii="Bodoni MT" w:hAnsi="Bodoni MT"/>
              </w:rPr>
            </w:pPr>
            <w:r w:rsidRPr="00412D5D">
              <w:rPr>
                <w:rFonts w:ascii="Bodoni MT" w:hAnsi="Bodoni MT"/>
              </w:rPr>
              <w:t>0,111</w:t>
            </w:r>
          </w:p>
        </w:tc>
        <w:tc>
          <w:tcPr>
            <w:tcW w:w="1517" w:type="dxa"/>
            <w:tcBorders>
              <w:left w:val="nil"/>
              <w:right w:val="nil"/>
            </w:tcBorders>
          </w:tcPr>
          <w:p w14:paraId="3FEB421B" w14:textId="77777777" w:rsidR="001C66BF" w:rsidRPr="00412D5D" w:rsidRDefault="001C66BF" w:rsidP="00034F31">
            <w:pPr>
              <w:pStyle w:val="TableParagraph"/>
              <w:ind w:left="191" w:right="191"/>
              <w:rPr>
                <w:rFonts w:ascii="Bodoni MT" w:hAnsi="Bodoni MT"/>
              </w:rPr>
            </w:pPr>
            <w:r w:rsidRPr="00412D5D">
              <w:rPr>
                <w:rFonts w:ascii="Bodoni MT" w:hAnsi="Bodoni MT"/>
              </w:rPr>
              <w:t>Normal</w:t>
            </w:r>
          </w:p>
        </w:tc>
      </w:tr>
      <w:tr w:rsidR="001C66BF" w:rsidRPr="00412D5D" w14:paraId="582F18A2" w14:textId="77777777" w:rsidTr="00034F31">
        <w:trPr>
          <w:trHeight w:val="230"/>
          <w:jc w:val="center"/>
        </w:trPr>
        <w:tc>
          <w:tcPr>
            <w:tcW w:w="1173" w:type="dxa"/>
            <w:tcBorders>
              <w:left w:val="nil"/>
              <w:right w:val="nil"/>
            </w:tcBorders>
          </w:tcPr>
          <w:p w14:paraId="118C3FE6" w14:textId="77777777" w:rsidR="001C66BF" w:rsidRPr="00412D5D" w:rsidRDefault="001C66BF" w:rsidP="00034F31">
            <w:pPr>
              <w:pStyle w:val="TableParagraph"/>
              <w:spacing w:line="211" w:lineRule="exact"/>
              <w:ind w:left="145" w:right="132"/>
              <w:rPr>
                <w:rFonts w:ascii="Bodoni MT" w:hAnsi="Bodoni MT"/>
              </w:rPr>
            </w:pPr>
            <w:r w:rsidRPr="00412D5D">
              <w:rPr>
                <w:rFonts w:ascii="Bodoni MT" w:hAnsi="Bodoni MT"/>
              </w:rPr>
              <w:t>Posttest</w:t>
            </w:r>
          </w:p>
        </w:tc>
        <w:tc>
          <w:tcPr>
            <w:tcW w:w="1684" w:type="dxa"/>
            <w:tcBorders>
              <w:left w:val="nil"/>
              <w:right w:val="nil"/>
            </w:tcBorders>
          </w:tcPr>
          <w:p w14:paraId="4C7C2063" w14:textId="77777777" w:rsidR="001C66BF" w:rsidRPr="00412D5D" w:rsidRDefault="001C66BF" w:rsidP="00034F31">
            <w:pPr>
              <w:pStyle w:val="TableParagraph"/>
              <w:spacing w:line="211" w:lineRule="exact"/>
              <w:ind w:left="220" w:right="217"/>
              <w:rPr>
                <w:rFonts w:ascii="Bodoni MT" w:hAnsi="Bodoni MT"/>
              </w:rPr>
            </w:pPr>
            <w:r w:rsidRPr="00412D5D">
              <w:rPr>
                <w:rFonts w:ascii="Bodoni MT" w:hAnsi="Bodoni MT"/>
              </w:rPr>
              <w:t>0,257</w:t>
            </w:r>
          </w:p>
        </w:tc>
        <w:tc>
          <w:tcPr>
            <w:tcW w:w="711" w:type="dxa"/>
            <w:tcBorders>
              <w:left w:val="nil"/>
              <w:right w:val="nil"/>
            </w:tcBorders>
          </w:tcPr>
          <w:p w14:paraId="50F35AE4" w14:textId="77777777" w:rsidR="001C66BF" w:rsidRPr="00412D5D" w:rsidRDefault="001C66BF" w:rsidP="00034F31">
            <w:pPr>
              <w:pStyle w:val="TableParagraph"/>
              <w:spacing w:line="211" w:lineRule="exact"/>
              <w:ind w:right="246"/>
              <w:jc w:val="right"/>
              <w:rPr>
                <w:rFonts w:ascii="Bodoni MT" w:hAnsi="Bodoni MT"/>
              </w:rPr>
            </w:pPr>
            <w:r w:rsidRPr="00412D5D">
              <w:rPr>
                <w:rFonts w:ascii="Bodoni MT" w:hAnsi="Bodoni MT"/>
              </w:rPr>
              <w:t>17</w:t>
            </w:r>
          </w:p>
        </w:tc>
        <w:tc>
          <w:tcPr>
            <w:tcW w:w="1182" w:type="dxa"/>
            <w:tcBorders>
              <w:left w:val="nil"/>
              <w:right w:val="nil"/>
            </w:tcBorders>
          </w:tcPr>
          <w:p w14:paraId="22F2D05F" w14:textId="77777777" w:rsidR="001C66BF" w:rsidRPr="00412D5D" w:rsidRDefault="001C66BF" w:rsidP="00034F31">
            <w:pPr>
              <w:pStyle w:val="TableParagraph"/>
              <w:spacing w:line="211" w:lineRule="exact"/>
              <w:ind w:left="340" w:right="342"/>
              <w:rPr>
                <w:rFonts w:ascii="Bodoni MT" w:hAnsi="Bodoni MT"/>
              </w:rPr>
            </w:pPr>
            <w:r w:rsidRPr="00412D5D">
              <w:rPr>
                <w:rFonts w:ascii="Bodoni MT" w:hAnsi="Bodoni MT"/>
              </w:rPr>
              <w:t>0,004</w:t>
            </w:r>
          </w:p>
        </w:tc>
        <w:tc>
          <w:tcPr>
            <w:tcW w:w="1517" w:type="dxa"/>
            <w:tcBorders>
              <w:left w:val="nil"/>
              <w:right w:val="nil"/>
            </w:tcBorders>
          </w:tcPr>
          <w:p w14:paraId="5830836F" w14:textId="77777777" w:rsidR="001C66BF" w:rsidRPr="00412D5D" w:rsidRDefault="001C66BF" w:rsidP="00034F31">
            <w:pPr>
              <w:pStyle w:val="TableParagraph"/>
              <w:spacing w:line="211" w:lineRule="exact"/>
              <w:ind w:left="192" w:right="191"/>
              <w:rPr>
                <w:rFonts w:ascii="Bodoni MT" w:hAnsi="Bodoni MT"/>
              </w:rPr>
            </w:pPr>
            <w:r w:rsidRPr="00412D5D">
              <w:rPr>
                <w:rFonts w:ascii="Bodoni MT" w:hAnsi="Bodoni MT"/>
              </w:rPr>
              <w:t>Not normal</w:t>
            </w:r>
          </w:p>
        </w:tc>
      </w:tr>
      <w:tr w:rsidR="001C66BF" w:rsidRPr="00412D5D" w14:paraId="645ACCDE" w14:textId="77777777" w:rsidTr="00034F31">
        <w:trPr>
          <w:trHeight w:val="230"/>
          <w:jc w:val="center"/>
        </w:trPr>
        <w:tc>
          <w:tcPr>
            <w:tcW w:w="6267" w:type="dxa"/>
            <w:gridSpan w:val="5"/>
            <w:tcBorders>
              <w:left w:val="nil"/>
              <w:right w:val="nil"/>
            </w:tcBorders>
          </w:tcPr>
          <w:p w14:paraId="21D0DA7E" w14:textId="77777777" w:rsidR="001C66BF" w:rsidRPr="00412D5D" w:rsidRDefault="001C66BF" w:rsidP="00034F31">
            <w:pPr>
              <w:pStyle w:val="TableParagraph"/>
              <w:rPr>
                <w:rFonts w:ascii="Bodoni MT" w:hAnsi="Bodoni MT"/>
              </w:rPr>
            </w:pPr>
          </w:p>
        </w:tc>
      </w:tr>
      <w:tr w:rsidR="001C66BF" w:rsidRPr="00412D5D" w14:paraId="5D9643EC" w14:textId="77777777" w:rsidTr="00034F31">
        <w:trPr>
          <w:trHeight w:val="230"/>
          <w:jc w:val="center"/>
        </w:trPr>
        <w:tc>
          <w:tcPr>
            <w:tcW w:w="6267" w:type="dxa"/>
            <w:gridSpan w:val="5"/>
            <w:tcBorders>
              <w:left w:val="nil"/>
              <w:right w:val="nil"/>
            </w:tcBorders>
          </w:tcPr>
          <w:p w14:paraId="0A724A3A" w14:textId="77777777" w:rsidR="001C66BF" w:rsidRPr="00412D5D" w:rsidRDefault="001C66BF" w:rsidP="00034F31">
            <w:pPr>
              <w:pStyle w:val="TableParagraph"/>
              <w:ind w:left="2305" w:right="2298"/>
              <w:rPr>
                <w:rFonts w:ascii="Bodoni MT" w:hAnsi="Bodoni MT"/>
                <w:b/>
              </w:rPr>
            </w:pPr>
            <w:r w:rsidRPr="00412D5D">
              <w:rPr>
                <w:rFonts w:ascii="Bodoni MT" w:hAnsi="Bodoni MT"/>
                <w:b/>
              </w:rPr>
              <w:t>Homogeneity</w:t>
            </w:r>
          </w:p>
        </w:tc>
      </w:tr>
      <w:tr w:rsidR="001C66BF" w:rsidRPr="00412D5D" w14:paraId="4BB76683" w14:textId="77777777" w:rsidTr="00034F31">
        <w:trPr>
          <w:trHeight w:val="230"/>
          <w:jc w:val="center"/>
        </w:trPr>
        <w:tc>
          <w:tcPr>
            <w:tcW w:w="1173" w:type="dxa"/>
            <w:tcBorders>
              <w:left w:val="nil"/>
              <w:right w:val="nil"/>
            </w:tcBorders>
          </w:tcPr>
          <w:p w14:paraId="68B89F0E" w14:textId="77777777" w:rsidR="001C66BF" w:rsidRPr="00412D5D" w:rsidRDefault="001C66BF" w:rsidP="00034F31">
            <w:pPr>
              <w:pStyle w:val="TableParagraph"/>
              <w:ind w:left="136" w:right="132"/>
              <w:rPr>
                <w:rFonts w:ascii="Bodoni MT" w:hAnsi="Bodoni MT"/>
                <w:b/>
              </w:rPr>
            </w:pPr>
            <w:r w:rsidRPr="00412D5D">
              <w:rPr>
                <w:rFonts w:ascii="Bodoni MT" w:hAnsi="Bodoni MT"/>
                <w:b/>
              </w:rPr>
              <w:t>Sig</w:t>
            </w:r>
          </w:p>
        </w:tc>
        <w:tc>
          <w:tcPr>
            <w:tcW w:w="1684" w:type="dxa"/>
            <w:tcBorders>
              <w:left w:val="nil"/>
              <w:right w:val="nil"/>
            </w:tcBorders>
          </w:tcPr>
          <w:p w14:paraId="0DBAD2A0" w14:textId="77777777" w:rsidR="001C66BF" w:rsidRPr="00412D5D" w:rsidRDefault="001C66BF" w:rsidP="00034F31">
            <w:pPr>
              <w:pStyle w:val="TableParagraph"/>
              <w:ind w:left="220" w:right="218"/>
              <w:rPr>
                <w:rFonts w:ascii="Bodoni MT" w:hAnsi="Bodoni MT"/>
                <w:b/>
              </w:rPr>
            </w:pPr>
            <w:proofErr w:type="spellStart"/>
            <w:r w:rsidRPr="00412D5D">
              <w:rPr>
                <w:rFonts w:ascii="Bodoni MT" w:hAnsi="Bodoni MT"/>
                <w:b/>
              </w:rPr>
              <w:t>Levene</w:t>
            </w:r>
            <w:proofErr w:type="spellEnd"/>
            <w:r w:rsidRPr="00412D5D">
              <w:rPr>
                <w:rFonts w:ascii="Bodoni MT" w:hAnsi="Bodoni MT"/>
                <w:b/>
              </w:rPr>
              <w:t xml:space="preserve"> Test</w:t>
            </w:r>
          </w:p>
        </w:tc>
        <w:tc>
          <w:tcPr>
            <w:tcW w:w="711" w:type="dxa"/>
            <w:tcBorders>
              <w:left w:val="nil"/>
              <w:right w:val="nil"/>
            </w:tcBorders>
          </w:tcPr>
          <w:p w14:paraId="532F053D" w14:textId="77777777" w:rsidR="001C66BF" w:rsidRPr="00412D5D" w:rsidRDefault="001C66BF" w:rsidP="00034F31">
            <w:pPr>
              <w:pStyle w:val="TableParagraph"/>
              <w:ind w:right="205"/>
              <w:jc w:val="right"/>
              <w:rPr>
                <w:rFonts w:ascii="Bodoni MT" w:hAnsi="Bodoni MT"/>
                <w:b/>
              </w:rPr>
            </w:pPr>
            <w:r w:rsidRPr="00412D5D">
              <w:rPr>
                <w:rFonts w:ascii="Bodoni MT" w:hAnsi="Bodoni MT"/>
                <w:b/>
              </w:rPr>
              <w:t>df1</w:t>
            </w:r>
          </w:p>
        </w:tc>
        <w:tc>
          <w:tcPr>
            <w:tcW w:w="1182" w:type="dxa"/>
            <w:tcBorders>
              <w:left w:val="nil"/>
              <w:right w:val="nil"/>
            </w:tcBorders>
          </w:tcPr>
          <w:p w14:paraId="4DE8C914" w14:textId="77777777" w:rsidR="001C66BF" w:rsidRPr="00412D5D" w:rsidRDefault="001C66BF" w:rsidP="00034F31">
            <w:pPr>
              <w:pStyle w:val="TableParagraph"/>
              <w:ind w:left="338" w:right="342"/>
              <w:rPr>
                <w:rFonts w:ascii="Bodoni MT" w:hAnsi="Bodoni MT"/>
                <w:b/>
              </w:rPr>
            </w:pPr>
            <w:r w:rsidRPr="00412D5D">
              <w:rPr>
                <w:rFonts w:ascii="Bodoni MT" w:hAnsi="Bodoni MT"/>
                <w:b/>
              </w:rPr>
              <w:t>df2</w:t>
            </w:r>
          </w:p>
        </w:tc>
        <w:tc>
          <w:tcPr>
            <w:tcW w:w="1517" w:type="dxa"/>
            <w:tcBorders>
              <w:left w:val="nil"/>
              <w:right w:val="nil"/>
            </w:tcBorders>
          </w:tcPr>
          <w:p w14:paraId="7676EEE3" w14:textId="77777777" w:rsidR="001C66BF" w:rsidRPr="00412D5D" w:rsidRDefault="001C66BF" w:rsidP="00034F31">
            <w:pPr>
              <w:pStyle w:val="TableParagraph"/>
              <w:ind w:left="191" w:right="191"/>
              <w:rPr>
                <w:rFonts w:ascii="Bodoni MT" w:hAnsi="Bodoni MT"/>
                <w:b/>
              </w:rPr>
            </w:pPr>
            <w:r w:rsidRPr="00412D5D">
              <w:rPr>
                <w:rFonts w:ascii="Bodoni MT" w:hAnsi="Bodoni MT"/>
                <w:b/>
              </w:rPr>
              <w:t>Decision</w:t>
            </w:r>
          </w:p>
        </w:tc>
      </w:tr>
      <w:tr w:rsidR="001C66BF" w:rsidRPr="00412D5D" w14:paraId="4E720978" w14:textId="77777777" w:rsidTr="00034F31">
        <w:trPr>
          <w:trHeight w:val="230"/>
          <w:jc w:val="center"/>
        </w:trPr>
        <w:tc>
          <w:tcPr>
            <w:tcW w:w="1173" w:type="dxa"/>
            <w:tcBorders>
              <w:left w:val="nil"/>
              <w:right w:val="nil"/>
            </w:tcBorders>
          </w:tcPr>
          <w:p w14:paraId="55E48695" w14:textId="77777777" w:rsidR="001C66BF" w:rsidRPr="00412D5D" w:rsidRDefault="001C66BF" w:rsidP="00034F31">
            <w:pPr>
              <w:pStyle w:val="TableParagraph"/>
              <w:ind w:left="141" w:right="132"/>
              <w:rPr>
                <w:rFonts w:ascii="Bodoni MT" w:hAnsi="Bodoni MT"/>
              </w:rPr>
            </w:pPr>
            <w:r w:rsidRPr="00412D5D">
              <w:rPr>
                <w:rFonts w:ascii="Bodoni MT" w:hAnsi="Bodoni MT"/>
              </w:rPr>
              <w:t>0,904</w:t>
            </w:r>
          </w:p>
        </w:tc>
        <w:tc>
          <w:tcPr>
            <w:tcW w:w="1684" w:type="dxa"/>
            <w:tcBorders>
              <w:left w:val="nil"/>
              <w:right w:val="nil"/>
            </w:tcBorders>
          </w:tcPr>
          <w:p w14:paraId="3B0BD78C" w14:textId="77777777" w:rsidR="001C66BF" w:rsidRPr="00412D5D" w:rsidRDefault="001C66BF" w:rsidP="00034F31">
            <w:pPr>
              <w:pStyle w:val="TableParagraph"/>
              <w:ind w:left="220" w:right="217"/>
              <w:rPr>
                <w:rFonts w:ascii="Bodoni MT" w:hAnsi="Bodoni MT"/>
              </w:rPr>
            </w:pPr>
            <w:r w:rsidRPr="00412D5D">
              <w:rPr>
                <w:rFonts w:ascii="Bodoni MT" w:hAnsi="Bodoni MT"/>
              </w:rPr>
              <w:t>0,015</w:t>
            </w:r>
          </w:p>
        </w:tc>
        <w:tc>
          <w:tcPr>
            <w:tcW w:w="711" w:type="dxa"/>
            <w:tcBorders>
              <w:left w:val="nil"/>
              <w:right w:val="nil"/>
            </w:tcBorders>
          </w:tcPr>
          <w:p w14:paraId="5058F265" w14:textId="77777777" w:rsidR="001C66BF" w:rsidRPr="00412D5D" w:rsidRDefault="001C66BF" w:rsidP="00034F31">
            <w:pPr>
              <w:pStyle w:val="TableParagraph"/>
              <w:ind w:right="296"/>
              <w:jc w:val="right"/>
              <w:rPr>
                <w:rFonts w:ascii="Bodoni MT" w:hAnsi="Bodoni MT"/>
              </w:rPr>
            </w:pPr>
            <w:r w:rsidRPr="00412D5D">
              <w:rPr>
                <w:rFonts w:ascii="Bodoni MT" w:hAnsi="Bodoni MT"/>
              </w:rPr>
              <w:t>1</w:t>
            </w:r>
          </w:p>
        </w:tc>
        <w:tc>
          <w:tcPr>
            <w:tcW w:w="1182" w:type="dxa"/>
            <w:tcBorders>
              <w:left w:val="nil"/>
              <w:right w:val="nil"/>
            </w:tcBorders>
          </w:tcPr>
          <w:p w14:paraId="7F57F30A" w14:textId="77777777" w:rsidR="001C66BF" w:rsidRPr="00412D5D" w:rsidRDefault="001C66BF" w:rsidP="00034F31">
            <w:pPr>
              <w:pStyle w:val="TableParagraph"/>
              <w:ind w:left="340" w:right="342"/>
              <w:rPr>
                <w:rFonts w:ascii="Bodoni MT" w:hAnsi="Bodoni MT"/>
              </w:rPr>
            </w:pPr>
            <w:r w:rsidRPr="00412D5D">
              <w:rPr>
                <w:rFonts w:ascii="Bodoni MT" w:hAnsi="Bodoni MT"/>
              </w:rPr>
              <w:t>32</w:t>
            </w:r>
          </w:p>
        </w:tc>
        <w:tc>
          <w:tcPr>
            <w:tcW w:w="1517" w:type="dxa"/>
            <w:tcBorders>
              <w:left w:val="nil"/>
              <w:right w:val="nil"/>
            </w:tcBorders>
          </w:tcPr>
          <w:p w14:paraId="6C13CB7A" w14:textId="77777777" w:rsidR="001C66BF" w:rsidRPr="00412D5D" w:rsidRDefault="001C66BF" w:rsidP="00034F31">
            <w:pPr>
              <w:pStyle w:val="TableParagraph"/>
              <w:ind w:left="190" w:right="191"/>
              <w:rPr>
                <w:rFonts w:ascii="Bodoni MT" w:hAnsi="Bodoni MT"/>
              </w:rPr>
            </w:pPr>
            <w:r w:rsidRPr="00412D5D">
              <w:rPr>
                <w:rFonts w:ascii="Bodoni MT" w:hAnsi="Bodoni MT"/>
              </w:rPr>
              <w:t>Homogeneous</w:t>
            </w:r>
          </w:p>
        </w:tc>
      </w:tr>
    </w:tbl>
    <w:p w14:paraId="07E22E11" w14:textId="77777777" w:rsidR="001C66BF" w:rsidRPr="00412D5D" w:rsidRDefault="001C66BF" w:rsidP="001C66BF">
      <w:pPr>
        <w:pStyle w:val="BodyText"/>
        <w:spacing w:line="276" w:lineRule="auto"/>
        <w:ind w:right="113"/>
        <w:jc w:val="both"/>
        <w:rPr>
          <w:rFonts w:ascii="Bodoni MT" w:hAnsi="Bodoni MT"/>
          <w:sz w:val="22"/>
          <w:szCs w:val="22"/>
        </w:rPr>
      </w:pPr>
    </w:p>
    <w:p w14:paraId="0B0E041E" w14:textId="77777777" w:rsidR="001C66BF" w:rsidRPr="00412D5D" w:rsidRDefault="001C66BF" w:rsidP="001C66BF">
      <w:pPr>
        <w:pStyle w:val="BodyText"/>
        <w:spacing w:line="276" w:lineRule="auto"/>
        <w:ind w:right="113" w:firstLine="426"/>
        <w:jc w:val="both"/>
        <w:rPr>
          <w:rFonts w:ascii="Bodoni MT" w:hAnsi="Bodoni MT"/>
          <w:sz w:val="22"/>
          <w:szCs w:val="22"/>
        </w:rPr>
      </w:pPr>
    </w:p>
    <w:p w14:paraId="33C0A062" w14:textId="77777777" w:rsidR="001C66BF" w:rsidRPr="00412D5D" w:rsidRDefault="001C66BF" w:rsidP="001C66BF">
      <w:pPr>
        <w:pStyle w:val="BodyText"/>
        <w:spacing w:line="276" w:lineRule="auto"/>
        <w:ind w:right="113" w:firstLine="426"/>
        <w:jc w:val="both"/>
        <w:rPr>
          <w:rFonts w:ascii="Bodoni MT" w:hAnsi="Bodoni MT"/>
          <w:b/>
          <w:sz w:val="22"/>
          <w:szCs w:val="22"/>
        </w:rPr>
      </w:pPr>
      <w:r w:rsidRPr="00412D5D">
        <w:rPr>
          <w:rFonts w:ascii="Bodoni MT" w:hAnsi="Bodoni MT"/>
          <w:sz w:val="22"/>
          <w:szCs w:val="22"/>
        </w:rPr>
        <w:t xml:space="preserve">From Table 3, the normality test shows that the Sig value. Pretest 0.111 &gt; </w:t>
      </w:r>
      <w:proofErr w:type="gramStart"/>
      <w:r w:rsidRPr="00412D5D">
        <w:rPr>
          <w:sz w:val="22"/>
          <w:szCs w:val="22"/>
        </w:rPr>
        <w:t>α</w:t>
      </w:r>
      <w:r w:rsidRPr="00412D5D">
        <w:rPr>
          <w:rFonts w:ascii="Bodoni MT" w:hAnsi="Bodoni MT"/>
          <w:sz w:val="22"/>
          <w:szCs w:val="22"/>
        </w:rPr>
        <w:t xml:space="preserve"> and</w:t>
      </w:r>
      <w:proofErr w:type="gramEnd"/>
      <w:r w:rsidRPr="00412D5D">
        <w:rPr>
          <w:rFonts w:ascii="Bodoni MT" w:hAnsi="Bodoni MT"/>
          <w:sz w:val="22"/>
          <w:szCs w:val="22"/>
        </w:rPr>
        <w:t xml:space="preserve"> Posttest 0.004 &lt; </w:t>
      </w:r>
      <w:r w:rsidRPr="00412D5D">
        <w:rPr>
          <w:sz w:val="22"/>
          <w:szCs w:val="22"/>
        </w:rPr>
        <w:t>α</w:t>
      </w:r>
      <w:r w:rsidRPr="00412D5D">
        <w:rPr>
          <w:rFonts w:ascii="Bodoni MT" w:hAnsi="Bodoni MT"/>
          <w:sz w:val="22"/>
          <w:szCs w:val="22"/>
        </w:rPr>
        <w:t>. Therefore, the data from the Pretest is "</w:t>
      </w:r>
      <w:r w:rsidRPr="00412D5D">
        <w:rPr>
          <w:rFonts w:ascii="Bodoni MT" w:hAnsi="Bodoni MT"/>
          <w:b/>
          <w:sz w:val="22"/>
          <w:szCs w:val="22"/>
        </w:rPr>
        <w:t xml:space="preserve">normally distributed" </w:t>
      </w:r>
      <w:r w:rsidRPr="00412D5D">
        <w:rPr>
          <w:rFonts w:ascii="Bodoni MT" w:hAnsi="Bodoni MT"/>
          <w:sz w:val="22"/>
          <w:szCs w:val="22"/>
        </w:rPr>
        <w:t>while the data from the Post-test is "</w:t>
      </w:r>
      <w:r w:rsidRPr="00412D5D">
        <w:rPr>
          <w:rFonts w:ascii="Bodoni MT" w:hAnsi="Bodoni MT"/>
          <w:b/>
          <w:sz w:val="22"/>
          <w:szCs w:val="22"/>
        </w:rPr>
        <w:t xml:space="preserve">not normally </w:t>
      </w:r>
      <w:proofErr w:type="gramStart"/>
      <w:r w:rsidRPr="00412D5D">
        <w:rPr>
          <w:rFonts w:ascii="Bodoni MT" w:hAnsi="Bodoni MT"/>
          <w:b/>
          <w:sz w:val="22"/>
          <w:szCs w:val="22"/>
        </w:rPr>
        <w:t>distributed</w:t>
      </w:r>
      <w:r w:rsidRPr="00412D5D">
        <w:rPr>
          <w:rFonts w:ascii="Bodoni MT" w:hAnsi="Bodoni MT"/>
          <w:bCs/>
          <w:sz w:val="22"/>
          <w:szCs w:val="22"/>
        </w:rPr>
        <w:t xml:space="preserve"> ."</w:t>
      </w:r>
      <w:proofErr w:type="gramEnd"/>
      <w:r w:rsidRPr="00412D5D">
        <w:rPr>
          <w:rFonts w:ascii="Bodoni MT" w:hAnsi="Bodoni MT"/>
          <w:bCs/>
          <w:sz w:val="22"/>
          <w:szCs w:val="22"/>
        </w:rPr>
        <w:t>The</w:t>
      </w:r>
      <w:r w:rsidRPr="00412D5D">
        <w:rPr>
          <w:rFonts w:ascii="Bodoni MT" w:hAnsi="Bodoni MT"/>
          <w:b/>
          <w:sz w:val="22"/>
          <w:szCs w:val="22"/>
        </w:rPr>
        <w:t xml:space="preserve"> </w:t>
      </w:r>
      <w:r w:rsidRPr="00412D5D">
        <w:rPr>
          <w:rFonts w:ascii="Bodoni MT" w:hAnsi="Bodoni MT"/>
          <w:sz w:val="22"/>
          <w:szCs w:val="22"/>
        </w:rPr>
        <w:t xml:space="preserve">Homogeneity Test shows that the Sig. Value is 0.904 &gt; </w:t>
      </w:r>
      <w:r w:rsidRPr="00412D5D">
        <w:rPr>
          <w:sz w:val="22"/>
          <w:szCs w:val="22"/>
        </w:rPr>
        <w:t>α</w:t>
      </w:r>
      <w:r w:rsidRPr="00412D5D">
        <w:rPr>
          <w:rFonts w:ascii="Bodoni MT" w:hAnsi="Bodoni MT"/>
          <w:sz w:val="22"/>
          <w:szCs w:val="22"/>
        </w:rPr>
        <w:t xml:space="preserve"> so that the data from the Pretest and Post-test are "</w:t>
      </w:r>
      <w:r w:rsidRPr="00412D5D">
        <w:rPr>
          <w:rFonts w:ascii="Bodoni MT" w:hAnsi="Bodoni MT"/>
          <w:b/>
          <w:sz w:val="22"/>
          <w:szCs w:val="22"/>
        </w:rPr>
        <w:t>Homogeneous."</w:t>
      </w:r>
    </w:p>
    <w:p w14:paraId="7FD58CE4" w14:textId="77777777" w:rsidR="001C66BF" w:rsidRPr="00412D5D" w:rsidRDefault="001C66BF" w:rsidP="001C66BF">
      <w:pPr>
        <w:pStyle w:val="Heading2"/>
        <w:keepNext w:val="0"/>
        <w:keepLines w:val="0"/>
        <w:widowControl w:val="0"/>
        <w:tabs>
          <w:tab w:val="left" w:pos="1106"/>
        </w:tabs>
        <w:autoSpaceDE w:val="0"/>
        <w:autoSpaceDN w:val="0"/>
        <w:spacing w:before="0" w:after="37" w:line="240" w:lineRule="auto"/>
        <w:jc w:val="center"/>
        <w:rPr>
          <w:rFonts w:ascii="Bodoni MT" w:hAnsi="Bodoni MT"/>
          <w:color w:val="000000" w:themeColor="text1"/>
          <w:sz w:val="22"/>
          <w:szCs w:val="22"/>
        </w:rPr>
      </w:pPr>
      <w:r w:rsidRPr="00412D5D">
        <w:rPr>
          <w:rFonts w:ascii="Bodoni MT" w:hAnsi="Bodoni MT"/>
          <w:color w:val="000000" w:themeColor="text1"/>
          <w:sz w:val="22"/>
          <w:szCs w:val="22"/>
        </w:rPr>
        <w:t>Table 4. Auditorial Learning Style Prerequisite Test Results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
        <w:gridCol w:w="1469"/>
        <w:gridCol w:w="851"/>
        <w:gridCol w:w="1175"/>
        <w:gridCol w:w="1920"/>
      </w:tblGrid>
      <w:tr w:rsidR="001C66BF" w:rsidRPr="00412D5D" w14:paraId="2DD040CE" w14:textId="77777777" w:rsidTr="00034F31">
        <w:trPr>
          <w:trHeight w:val="230"/>
          <w:jc w:val="center"/>
        </w:trPr>
        <w:tc>
          <w:tcPr>
            <w:tcW w:w="1106" w:type="dxa"/>
            <w:vMerge w:val="restart"/>
            <w:tcBorders>
              <w:left w:val="nil"/>
              <w:right w:val="nil"/>
            </w:tcBorders>
          </w:tcPr>
          <w:p w14:paraId="3E8AF6FF" w14:textId="77777777" w:rsidR="001C66BF" w:rsidRPr="00412D5D" w:rsidRDefault="001C66BF" w:rsidP="00034F31">
            <w:pPr>
              <w:pStyle w:val="TableParagraph"/>
              <w:spacing w:before="8"/>
              <w:rPr>
                <w:rFonts w:ascii="Bodoni MT" w:hAnsi="Bodoni MT"/>
                <w:b/>
              </w:rPr>
            </w:pPr>
          </w:p>
          <w:p w14:paraId="74326B53" w14:textId="77777777" w:rsidR="001C66BF" w:rsidRPr="00412D5D" w:rsidRDefault="001C66BF" w:rsidP="00034F31">
            <w:pPr>
              <w:pStyle w:val="TableParagraph"/>
              <w:spacing w:before="1"/>
              <w:ind w:left="250"/>
              <w:rPr>
                <w:rFonts w:ascii="Bodoni MT" w:hAnsi="Bodoni MT"/>
                <w:b/>
              </w:rPr>
            </w:pPr>
            <w:r w:rsidRPr="00412D5D">
              <w:rPr>
                <w:rFonts w:ascii="Bodoni MT" w:hAnsi="Bodoni MT"/>
                <w:b/>
              </w:rPr>
              <w:t>Results</w:t>
            </w:r>
          </w:p>
        </w:tc>
        <w:tc>
          <w:tcPr>
            <w:tcW w:w="3495" w:type="dxa"/>
            <w:gridSpan w:val="3"/>
            <w:tcBorders>
              <w:left w:val="nil"/>
              <w:right w:val="nil"/>
            </w:tcBorders>
          </w:tcPr>
          <w:p w14:paraId="4D4C556C" w14:textId="77777777" w:rsidR="001C66BF" w:rsidRPr="00412D5D" w:rsidRDefault="001C66BF" w:rsidP="00034F31">
            <w:pPr>
              <w:pStyle w:val="TableParagraph"/>
              <w:ind w:left="1220" w:right="1215"/>
              <w:rPr>
                <w:rFonts w:ascii="Bodoni MT" w:hAnsi="Bodoni MT"/>
                <w:b/>
              </w:rPr>
            </w:pPr>
            <w:r w:rsidRPr="00412D5D">
              <w:rPr>
                <w:rFonts w:ascii="Bodoni MT" w:hAnsi="Bodoni MT"/>
                <w:b/>
              </w:rPr>
              <w:t>Normality</w:t>
            </w:r>
          </w:p>
        </w:tc>
        <w:tc>
          <w:tcPr>
            <w:tcW w:w="1920" w:type="dxa"/>
            <w:vMerge w:val="restart"/>
            <w:tcBorders>
              <w:left w:val="nil"/>
              <w:right w:val="nil"/>
            </w:tcBorders>
          </w:tcPr>
          <w:p w14:paraId="0475FD42" w14:textId="77777777" w:rsidR="001C66BF" w:rsidRPr="00412D5D" w:rsidRDefault="001C66BF" w:rsidP="00034F31">
            <w:pPr>
              <w:pStyle w:val="TableParagraph"/>
              <w:spacing w:before="8"/>
              <w:rPr>
                <w:rFonts w:ascii="Bodoni MT" w:hAnsi="Bodoni MT"/>
                <w:b/>
              </w:rPr>
            </w:pPr>
          </w:p>
          <w:p w14:paraId="3D818B78" w14:textId="77777777" w:rsidR="001C66BF" w:rsidRPr="00412D5D" w:rsidRDefault="001C66BF" w:rsidP="00034F31">
            <w:pPr>
              <w:pStyle w:val="TableParagraph"/>
              <w:spacing w:before="1"/>
              <w:ind w:left="218"/>
              <w:rPr>
                <w:rFonts w:ascii="Bodoni MT" w:hAnsi="Bodoni MT"/>
                <w:b/>
              </w:rPr>
            </w:pPr>
            <w:r w:rsidRPr="00412D5D">
              <w:rPr>
                <w:rFonts w:ascii="Bodoni MT" w:hAnsi="Bodoni MT"/>
                <w:b/>
              </w:rPr>
              <w:t>Decision</w:t>
            </w:r>
          </w:p>
        </w:tc>
      </w:tr>
      <w:tr w:rsidR="001C66BF" w:rsidRPr="00412D5D" w14:paraId="3E257BA4" w14:textId="77777777" w:rsidTr="00034F31">
        <w:trPr>
          <w:trHeight w:val="230"/>
          <w:jc w:val="center"/>
        </w:trPr>
        <w:tc>
          <w:tcPr>
            <w:tcW w:w="1106" w:type="dxa"/>
            <w:vMerge/>
            <w:tcBorders>
              <w:top w:val="nil"/>
              <w:left w:val="nil"/>
              <w:right w:val="nil"/>
            </w:tcBorders>
          </w:tcPr>
          <w:p w14:paraId="2952D9E2" w14:textId="77777777" w:rsidR="001C66BF" w:rsidRPr="00412D5D" w:rsidRDefault="001C66BF" w:rsidP="00034F31">
            <w:pPr>
              <w:rPr>
                <w:rFonts w:ascii="Bodoni MT" w:hAnsi="Bodoni MT"/>
              </w:rPr>
            </w:pPr>
          </w:p>
        </w:tc>
        <w:tc>
          <w:tcPr>
            <w:tcW w:w="3495" w:type="dxa"/>
            <w:gridSpan w:val="3"/>
            <w:tcBorders>
              <w:left w:val="nil"/>
              <w:right w:val="nil"/>
            </w:tcBorders>
          </w:tcPr>
          <w:p w14:paraId="6A7D6BAC" w14:textId="77777777" w:rsidR="001C66BF" w:rsidRPr="00412D5D" w:rsidRDefault="001C66BF" w:rsidP="00034F31">
            <w:pPr>
              <w:pStyle w:val="TableParagraph"/>
              <w:spacing w:line="211" w:lineRule="exact"/>
              <w:ind w:left="839"/>
              <w:rPr>
                <w:rFonts w:ascii="Bodoni MT" w:hAnsi="Bodoni MT"/>
                <w:b/>
              </w:rPr>
            </w:pPr>
            <w:r w:rsidRPr="00412D5D">
              <w:rPr>
                <w:rFonts w:ascii="Bodoni MT" w:hAnsi="Bodoni MT"/>
                <w:b/>
              </w:rPr>
              <w:t>Kolmogorov Smirnov</w:t>
            </w:r>
          </w:p>
        </w:tc>
        <w:tc>
          <w:tcPr>
            <w:tcW w:w="1920" w:type="dxa"/>
            <w:vMerge/>
            <w:tcBorders>
              <w:top w:val="nil"/>
              <w:left w:val="nil"/>
              <w:right w:val="nil"/>
            </w:tcBorders>
          </w:tcPr>
          <w:p w14:paraId="689884A4" w14:textId="77777777" w:rsidR="001C66BF" w:rsidRPr="00412D5D" w:rsidRDefault="001C66BF" w:rsidP="00034F31">
            <w:pPr>
              <w:rPr>
                <w:rFonts w:ascii="Bodoni MT" w:hAnsi="Bodoni MT"/>
              </w:rPr>
            </w:pPr>
          </w:p>
        </w:tc>
      </w:tr>
      <w:tr w:rsidR="001C66BF" w:rsidRPr="00412D5D" w14:paraId="439631C1" w14:textId="77777777" w:rsidTr="00034F31">
        <w:trPr>
          <w:trHeight w:val="230"/>
          <w:jc w:val="center"/>
        </w:trPr>
        <w:tc>
          <w:tcPr>
            <w:tcW w:w="1106" w:type="dxa"/>
            <w:vMerge/>
            <w:tcBorders>
              <w:top w:val="nil"/>
              <w:left w:val="nil"/>
              <w:right w:val="nil"/>
            </w:tcBorders>
          </w:tcPr>
          <w:p w14:paraId="3F052A47" w14:textId="77777777" w:rsidR="001C66BF" w:rsidRPr="00412D5D" w:rsidRDefault="001C66BF" w:rsidP="00034F31">
            <w:pPr>
              <w:rPr>
                <w:rFonts w:ascii="Bodoni MT" w:hAnsi="Bodoni MT"/>
              </w:rPr>
            </w:pPr>
          </w:p>
        </w:tc>
        <w:tc>
          <w:tcPr>
            <w:tcW w:w="1469" w:type="dxa"/>
            <w:tcBorders>
              <w:left w:val="nil"/>
              <w:right w:val="nil"/>
            </w:tcBorders>
          </w:tcPr>
          <w:p w14:paraId="4433CE9E" w14:textId="77777777" w:rsidR="001C66BF" w:rsidRPr="00412D5D" w:rsidRDefault="001C66BF" w:rsidP="00034F31">
            <w:pPr>
              <w:pStyle w:val="TableParagraph"/>
              <w:ind w:left="218" w:right="218"/>
              <w:rPr>
                <w:rFonts w:ascii="Bodoni MT" w:hAnsi="Bodoni MT"/>
                <w:b/>
              </w:rPr>
            </w:pPr>
            <w:r w:rsidRPr="00412D5D">
              <w:rPr>
                <w:rFonts w:ascii="Bodoni MT" w:hAnsi="Bodoni MT"/>
                <w:b/>
              </w:rPr>
              <w:t>Statistics</w:t>
            </w:r>
          </w:p>
        </w:tc>
        <w:tc>
          <w:tcPr>
            <w:tcW w:w="851" w:type="dxa"/>
            <w:tcBorders>
              <w:left w:val="nil"/>
              <w:right w:val="nil"/>
            </w:tcBorders>
          </w:tcPr>
          <w:p w14:paraId="128A61A9" w14:textId="77777777" w:rsidR="001C66BF" w:rsidRPr="00412D5D" w:rsidRDefault="001C66BF" w:rsidP="00034F31">
            <w:pPr>
              <w:pStyle w:val="TableParagraph"/>
              <w:ind w:right="329"/>
              <w:jc w:val="right"/>
              <w:rPr>
                <w:rFonts w:ascii="Bodoni MT" w:hAnsi="Bodoni MT"/>
                <w:b/>
              </w:rPr>
            </w:pPr>
            <w:proofErr w:type="spellStart"/>
            <w:r w:rsidRPr="00412D5D">
              <w:rPr>
                <w:rFonts w:ascii="Bodoni MT" w:hAnsi="Bodoni MT"/>
                <w:b/>
              </w:rPr>
              <w:t>df</w:t>
            </w:r>
            <w:proofErr w:type="spellEnd"/>
          </w:p>
        </w:tc>
        <w:tc>
          <w:tcPr>
            <w:tcW w:w="1175" w:type="dxa"/>
            <w:tcBorders>
              <w:left w:val="nil"/>
              <w:right w:val="nil"/>
            </w:tcBorders>
          </w:tcPr>
          <w:p w14:paraId="61D15733" w14:textId="77777777" w:rsidR="001C66BF" w:rsidRPr="00412D5D" w:rsidRDefault="001C66BF" w:rsidP="00034F31">
            <w:pPr>
              <w:pStyle w:val="TableParagraph"/>
              <w:ind w:left="338" w:right="331"/>
              <w:rPr>
                <w:rFonts w:ascii="Bodoni MT" w:hAnsi="Bodoni MT"/>
                <w:b/>
              </w:rPr>
            </w:pPr>
            <w:r w:rsidRPr="00412D5D">
              <w:rPr>
                <w:rFonts w:ascii="Bodoni MT" w:hAnsi="Bodoni MT"/>
                <w:b/>
              </w:rPr>
              <w:t>Sig.</w:t>
            </w:r>
          </w:p>
        </w:tc>
        <w:tc>
          <w:tcPr>
            <w:tcW w:w="1920" w:type="dxa"/>
            <w:vMerge/>
            <w:tcBorders>
              <w:top w:val="nil"/>
              <w:left w:val="nil"/>
              <w:right w:val="nil"/>
            </w:tcBorders>
          </w:tcPr>
          <w:p w14:paraId="370B3251" w14:textId="77777777" w:rsidR="001C66BF" w:rsidRPr="00412D5D" w:rsidRDefault="001C66BF" w:rsidP="00034F31">
            <w:pPr>
              <w:rPr>
                <w:rFonts w:ascii="Bodoni MT" w:hAnsi="Bodoni MT"/>
              </w:rPr>
            </w:pPr>
          </w:p>
        </w:tc>
      </w:tr>
      <w:tr w:rsidR="001C66BF" w:rsidRPr="00412D5D" w14:paraId="2E5D83B7" w14:textId="77777777" w:rsidTr="00034F31">
        <w:trPr>
          <w:trHeight w:val="230"/>
          <w:jc w:val="center"/>
        </w:trPr>
        <w:tc>
          <w:tcPr>
            <w:tcW w:w="1106" w:type="dxa"/>
            <w:tcBorders>
              <w:left w:val="nil"/>
              <w:right w:val="nil"/>
            </w:tcBorders>
          </w:tcPr>
          <w:p w14:paraId="73FF9B44" w14:textId="77777777" w:rsidR="001C66BF" w:rsidRPr="00412D5D" w:rsidRDefault="001C66BF" w:rsidP="00034F31">
            <w:pPr>
              <w:pStyle w:val="TableParagraph"/>
              <w:ind w:left="135" w:right="132"/>
              <w:rPr>
                <w:rFonts w:ascii="Bodoni MT" w:hAnsi="Bodoni MT"/>
              </w:rPr>
            </w:pPr>
            <w:r w:rsidRPr="00412D5D">
              <w:rPr>
                <w:rFonts w:ascii="Bodoni MT" w:hAnsi="Bodoni MT"/>
              </w:rPr>
              <w:t>Pretest</w:t>
            </w:r>
          </w:p>
        </w:tc>
        <w:tc>
          <w:tcPr>
            <w:tcW w:w="1469" w:type="dxa"/>
            <w:tcBorders>
              <w:left w:val="nil"/>
              <w:right w:val="nil"/>
            </w:tcBorders>
          </w:tcPr>
          <w:p w14:paraId="2FF47DF5" w14:textId="77777777" w:rsidR="001C66BF" w:rsidRPr="00412D5D" w:rsidRDefault="001C66BF" w:rsidP="00034F31">
            <w:pPr>
              <w:pStyle w:val="TableParagraph"/>
              <w:ind w:left="220" w:right="217"/>
              <w:rPr>
                <w:rFonts w:ascii="Bodoni MT" w:hAnsi="Bodoni MT"/>
              </w:rPr>
            </w:pPr>
            <w:r w:rsidRPr="00412D5D">
              <w:rPr>
                <w:rFonts w:ascii="Bodoni MT" w:hAnsi="Bodoni MT"/>
              </w:rPr>
              <w:t>0,16</w:t>
            </w:r>
          </w:p>
        </w:tc>
        <w:tc>
          <w:tcPr>
            <w:tcW w:w="851" w:type="dxa"/>
            <w:tcBorders>
              <w:left w:val="nil"/>
              <w:right w:val="nil"/>
            </w:tcBorders>
          </w:tcPr>
          <w:p w14:paraId="5190FC64" w14:textId="77777777" w:rsidR="001C66BF" w:rsidRPr="00412D5D" w:rsidRDefault="001C66BF" w:rsidP="00034F31">
            <w:pPr>
              <w:pStyle w:val="TableParagraph"/>
              <w:ind w:right="316"/>
              <w:jc w:val="right"/>
              <w:rPr>
                <w:rFonts w:ascii="Bodoni MT" w:hAnsi="Bodoni MT"/>
              </w:rPr>
            </w:pPr>
            <w:r w:rsidRPr="00412D5D">
              <w:rPr>
                <w:rFonts w:ascii="Bodoni MT" w:hAnsi="Bodoni MT"/>
              </w:rPr>
              <w:t>32</w:t>
            </w:r>
          </w:p>
        </w:tc>
        <w:tc>
          <w:tcPr>
            <w:tcW w:w="1175" w:type="dxa"/>
            <w:tcBorders>
              <w:left w:val="nil"/>
              <w:right w:val="nil"/>
            </w:tcBorders>
          </w:tcPr>
          <w:p w14:paraId="422F60BE" w14:textId="77777777" w:rsidR="001C66BF" w:rsidRPr="00412D5D" w:rsidRDefault="001C66BF" w:rsidP="00034F31">
            <w:pPr>
              <w:pStyle w:val="TableParagraph"/>
              <w:ind w:left="343" w:right="331"/>
              <w:rPr>
                <w:rFonts w:ascii="Bodoni MT" w:hAnsi="Bodoni MT"/>
              </w:rPr>
            </w:pPr>
            <w:r w:rsidRPr="00412D5D">
              <w:rPr>
                <w:rFonts w:ascii="Bodoni MT" w:hAnsi="Bodoni MT"/>
              </w:rPr>
              <w:t>0,036</w:t>
            </w:r>
          </w:p>
        </w:tc>
        <w:tc>
          <w:tcPr>
            <w:tcW w:w="1920" w:type="dxa"/>
            <w:vMerge w:val="restart"/>
            <w:tcBorders>
              <w:left w:val="nil"/>
              <w:right w:val="nil"/>
            </w:tcBorders>
          </w:tcPr>
          <w:p w14:paraId="2E9F3FC0" w14:textId="77777777" w:rsidR="001C66BF" w:rsidRPr="00412D5D" w:rsidRDefault="001C66BF" w:rsidP="00034F31">
            <w:pPr>
              <w:pStyle w:val="TableParagraph"/>
              <w:spacing w:before="118"/>
              <w:ind w:left="123"/>
              <w:rPr>
                <w:rFonts w:ascii="Bodoni MT" w:hAnsi="Bodoni MT"/>
              </w:rPr>
            </w:pPr>
            <w:r w:rsidRPr="00412D5D">
              <w:rPr>
                <w:rFonts w:ascii="Bodoni MT" w:hAnsi="Bodoni MT"/>
              </w:rPr>
              <w:t>Not Normal</w:t>
            </w:r>
          </w:p>
        </w:tc>
      </w:tr>
      <w:tr w:rsidR="001C66BF" w:rsidRPr="00412D5D" w14:paraId="0FB9BB50" w14:textId="77777777" w:rsidTr="00034F31">
        <w:trPr>
          <w:trHeight w:val="230"/>
          <w:jc w:val="center"/>
        </w:trPr>
        <w:tc>
          <w:tcPr>
            <w:tcW w:w="1106" w:type="dxa"/>
            <w:tcBorders>
              <w:left w:val="nil"/>
              <w:right w:val="nil"/>
            </w:tcBorders>
          </w:tcPr>
          <w:p w14:paraId="5492CA96" w14:textId="77777777" w:rsidR="001C66BF" w:rsidRPr="00412D5D" w:rsidRDefault="001C66BF" w:rsidP="00034F31">
            <w:pPr>
              <w:pStyle w:val="TableParagraph"/>
              <w:ind w:left="145" w:right="132"/>
              <w:rPr>
                <w:rFonts w:ascii="Bodoni MT" w:hAnsi="Bodoni MT"/>
              </w:rPr>
            </w:pPr>
            <w:r w:rsidRPr="00412D5D">
              <w:rPr>
                <w:rFonts w:ascii="Bodoni MT" w:hAnsi="Bodoni MT"/>
              </w:rPr>
              <w:t>Posttest</w:t>
            </w:r>
          </w:p>
        </w:tc>
        <w:tc>
          <w:tcPr>
            <w:tcW w:w="1469" w:type="dxa"/>
            <w:tcBorders>
              <w:left w:val="nil"/>
              <w:right w:val="nil"/>
            </w:tcBorders>
          </w:tcPr>
          <w:p w14:paraId="1E72C4CB" w14:textId="77777777" w:rsidR="001C66BF" w:rsidRPr="00412D5D" w:rsidRDefault="001C66BF" w:rsidP="00034F31">
            <w:pPr>
              <w:pStyle w:val="TableParagraph"/>
              <w:ind w:left="220" w:right="217"/>
              <w:rPr>
                <w:rFonts w:ascii="Bodoni MT" w:hAnsi="Bodoni MT"/>
              </w:rPr>
            </w:pPr>
            <w:r w:rsidRPr="00412D5D">
              <w:rPr>
                <w:rFonts w:ascii="Bodoni MT" w:hAnsi="Bodoni MT"/>
              </w:rPr>
              <w:t>0,187</w:t>
            </w:r>
          </w:p>
        </w:tc>
        <w:tc>
          <w:tcPr>
            <w:tcW w:w="851" w:type="dxa"/>
            <w:tcBorders>
              <w:left w:val="nil"/>
              <w:right w:val="nil"/>
            </w:tcBorders>
          </w:tcPr>
          <w:p w14:paraId="33F47398" w14:textId="77777777" w:rsidR="001C66BF" w:rsidRPr="00412D5D" w:rsidRDefault="001C66BF" w:rsidP="00034F31">
            <w:pPr>
              <w:pStyle w:val="TableParagraph"/>
              <w:ind w:right="316"/>
              <w:jc w:val="right"/>
              <w:rPr>
                <w:rFonts w:ascii="Bodoni MT" w:hAnsi="Bodoni MT"/>
              </w:rPr>
            </w:pPr>
            <w:r w:rsidRPr="00412D5D">
              <w:rPr>
                <w:rFonts w:ascii="Bodoni MT" w:hAnsi="Bodoni MT"/>
              </w:rPr>
              <w:t>32</w:t>
            </w:r>
          </w:p>
        </w:tc>
        <w:tc>
          <w:tcPr>
            <w:tcW w:w="1175" w:type="dxa"/>
            <w:tcBorders>
              <w:left w:val="nil"/>
              <w:right w:val="nil"/>
            </w:tcBorders>
          </w:tcPr>
          <w:p w14:paraId="44034B83" w14:textId="77777777" w:rsidR="001C66BF" w:rsidRPr="00412D5D" w:rsidRDefault="001C66BF" w:rsidP="00034F31">
            <w:pPr>
              <w:pStyle w:val="TableParagraph"/>
              <w:ind w:left="343" w:right="331"/>
              <w:rPr>
                <w:rFonts w:ascii="Bodoni MT" w:hAnsi="Bodoni MT"/>
              </w:rPr>
            </w:pPr>
            <w:r w:rsidRPr="00412D5D">
              <w:rPr>
                <w:rFonts w:ascii="Bodoni MT" w:hAnsi="Bodoni MT"/>
              </w:rPr>
              <w:t>0,006</w:t>
            </w:r>
          </w:p>
        </w:tc>
        <w:tc>
          <w:tcPr>
            <w:tcW w:w="1920" w:type="dxa"/>
            <w:vMerge/>
            <w:tcBorders>
              <w:top w:val="nil"/>
              <w:left w:val="nil"/>
              <w:right w:val="nil"/>
            </w:tcBorders>
          </w:tcPr>
          <w:p w14:paraId="4D74AA65" w14:textId="77777777" w:rsidR="001C66BF" w:rsidRPr="00412D5D" w:rsidRDefault="001C66BF" w:rsidP="00034F31">
            <w:pPr>
              <w:rPr>
                <w:rFonts w:ascii="Bodoni MT" w:hAnsi="Bodoni MT"/>
              </w:rPr>
            </w:pPr>
          </w:p>
        </w:tc>
      </w:tr>
      <w:tr w:rsidR="001C66BF" w:rsidRPr="00412D5D" w14:paraId="19F9C45C" w14:textId="77777777" w:rsidTr="00034F31">
        <w:trPr>
          <w:trHeight w:val="230"/>
          <w:jc w:val="center"/>
        </w:trPr>
        <w:tc>
          <w:tcPr>
            <w:tcW w:w="6521" w:type="dxa"/>
            <w:gridSpan w:val="5"/>
            <w:tcBorders>
              <w:left w:val="nil"/>
              <w:right w:val="nil"/>
            </w:tcBorders>
          </w:tcPr>
          <w:p w14:paraId="63539EA3" w14:textId="77777777" w:rsidR="001C66BF" w:rsidRPr="00412D5D" w:rsidRDefault="001C66BF" w:rsidP="00034F31">
            <w:pPr>
              <w:pStyle w:val="TableParagraph"/>
              <w:rPr>
                <w:rFonts w:ascii="Bodoni MT" w:hAnsi="Bodoni MT"/>
              </w:rPr>
            </w:pPr>
          </w:p>
        </w:tc>
      </w:tr>
      <w:tr w:rsidR="001C66BF" w:rsidRPr="00412D5D" w14:paraId="6A9D66DC" w14:textId="77777777" w:rsidTr="00034F31">
        <w:trPr>
          <w:trHeight w:val="230"/>
          <w:jc w:val="center"/>
        </w:trPr>
        <w:tc>
          <w:tcPr>
            <w:tcW w:w="6521" w:type="dxa"/>
            <w:gridSpan w:val="5"/>
            <w:tcBorders>
              <w:left w:val="nil"/>
              <w:right w:val="nil"/>
            </w:tcBorders>
          </w:tcPr>
          <w:p w14:paraId="1DEEBB8A" w14:textId="77777777" w:rsidR="001C66BF" w:rsidRPr="00412D5D" w:rsidRDefault="001C66BF" w:rsidP="00034F31">
            <w:pPr>
              <w:pStyle w:val="TableParagraph"/>
              <w:ind w:left="2305" w:right="2295"/>
              <w:rPr>
                <w:rFonts w:ascii="Bodoni MT" w:hAnsi="Bodoni MT"/>
                <w:b/>
              </w:rPr>
            </w:pPr>
            <w:r w:rsidRPr="00412D5D">
              <w:rPr>
                <w:rFonts w:ascii="Bodoni MT" w:hAnsi="Bodoni MT"/>
                <w:b/>
              </w:rPr>
              <w:t>Homogeneity</w:t>
            </w:r>
          </w:p>
        </w:tc>
      </w:tr>
      <w:tr w:rsidR="001C66BF" w:rsidRPr="00412D5D" w14:paraId="62CD955A" w14:textId="77777777" w:rsidTr="00034F31">
        <w:trPr>
          <w:trHeight w:val="230"/>
          <w:jc w:val="center"/>
        </w:trPr>
        <w:tc>
          <w:tcPr>
            <w:tcW w:w="1106" w:type="dxa"/>
            <w:tcBorders>
              <w:left w:val="nil"/>
              <w:right w:val="nil"/>
            </w:tcBorders>
          </w:tcPr>
          <w:p w14:paraId="337FFBEF" w14:textId="77777777" w:rsidR="001C66BF" w:rsidRPr="00412D5D" w:rsidRDefault="001C66BF" w:rsidP="00034F31">
            <w:pPr>
              <w:pStyle w:val="TableParagraph"/>
              <w:ind w:left="136" w:right="132"/>
              <w:rPr>
                <w:rFonts w:ascii="Bodoni MT" w:hAnsi="Bodoni MT"/>
                <w:b/>
              </w:rPr>
            </w:pPr>
            <w:r w:rsidRPr="00412D5D">
              <w:rPr>
                <w:rFonts w:ascii="Bodoni MT" w:hAnsi="Bodoni MT"/>
                <w:b/>
              </w:rPr>
              <w:t>Sig</w:t>
            </w:r>
          </w:p>
        </w:tc>
        <w:tc>
          <w:tcPr>
            <w:tcW w:w="1469" w:type="dxa"/>
            <w:tcBorders>
              <w:left w:val="nil"/>
              <w:right w:val="nil"/>
            </w:tcBorders>
          </w:tcPr>
          <w:p w14:paraId="4FF0DCE2" w14:textId="77777777" w:rsidR="001C66BF" w:rsidRPr="00412D5D" w:rsidRDefault="001C66BF" w:rsidP="00034F31">
            <w:pPr>
              <w:pStyle w:val="TableParagraph"/>
              <w:ind w:left="220" w:right="218"/>
              <w:rPr>
                <w:rFonts w:ascii="Bodoni MT" w:hAnsi="Bodoni MT"/>
                <w:b/>
              </w:rPr>
            </w:pPr>
            <w:proofErr w:type="spellStart"/>
            <w:r w:rsidRPr="00412D5D">
              <w:rPr>
                <w:rFonts w:ascii="Bodoni MT" w:hAnsi="Bodoni MT"/>
                <w:b/>
              </w:rPr>
              <w:t>Levene</w:t>
            </w:r>
            <w:proofErr w:type="spellEnd"/>
            <w:r w:rsidRPr="00412D5D">
              <w:rPr>
                <w:rFonts w:ascii="Bodoni MT" w:hAnsi="Bodoni MT"/>
                <w:b/>
              </w:rPr>
              <w:t xml:space="preserve"> Test</w:t>
            </w:r>
          </w:p>
        </w:tc>
        <w:tc>
          <w:tcPr>
            <w:tcW w:w="851" w:type="dxa"/>
            <w:tcBorders>
              <w:left w:val="nil"/>
              <w:right w:val="nil"/>
            </w:tcBorders>
          </w:tcPr>
          <w:p w14:paraId="6656BADE" w14:textId="77777777" w:rsidR="001C66BF" w:rsidRPr="00412D5D" w:rsidRDefault="001C66BF" w:rsidP="00034F31">
            <w:pPr>
              <w:pStyle w:val="TableParagraph"/>
              <w:ind w:right="275"/>
              <w:jc w:val="right"/>
              <w:rPr>
                <w:rFonts w:ascii="Bodoni MT" w:hAnsi="Bodoni MT"/>
                <w:b/>
              </w:rPr>
            </w:pPr>
            <w:r w:rsidRPr="00412D5D">
              <w:rPr>
                <w:rFonts w:ascii="Bodoni MT" w:hAnsi="Bodoni MT"/>
                <w:b/>
              </w:rPr>
              <w:t>df1</w:t>
            </w:r>
          </w:p>
        </w:tc>
        <w:tc>
          <w:tcPr>
            <w:tcW w:w="1175" w:type="dxa"/>
            <w:tcBorders>
              <w:left w:val="nil"/>
              <w:right w:val="nil"/>
            </w:tcBorders>
          </w:tcPr>
          <w:p w14:paraId="284BBEA7" w14:textId="77777777" w:rsidR="001C66BF" w:rsidRPr="00412D5D" w:rsidRDefault="001C66BF" w:rsidP="00034F31">
            <w:pPr>
              <w:pStyle w:val="TableParagraph"/>
              <w:ind w:left="343" w:right="331"/>
              <w:rPr>
                <w:rFonts w:ascii="Bodoni MT" w:hAnsi="Bodoni MT"/>
                <w:b/>
              </w:rPr>
            </w:pPr>
            <w:r w:rsidRPr="00412D5D">
              <w:rPr>
                <w:rFonts w:ascii="Bodoni MT" w:hAnsi="Bodoni MT"/>
                <w:b/>
              </w:rPr>
              <w:t>df2</w:t>
            </w:r>
          </w:p>
        </w:tc>
        <w:tc>
          <w:tcPr>
            <w:tcW w:w="1920" w:type="dxa"/>
            <w:tcBorders>
              <w:left w:val="nil"/>
              <w:right w:val="nil"/>
            </w:tcBorders>
          </w:tcPr>
          <w:p w14:paraId="7CDDC4A3" w14:textId="77777777" w:rsidR="001C66BF" w:rsidRPr="00412D5D" w:rsidRDefault="001C66BF" w:rsidP="00034F31">
            <w:pPr>
              <w:pStyle w:val="TableParagraph"/>
              <w:ind w:left="198" w:right="198"/>
              <w:rPr>
                <w:rFonts w:ascii="Bodoni MT" w:hAnsi="Bodoni MT"/>
                <w:b/>
              </w:rPr>
            </w:pPr>
            <w:r w:rsidRPr="00412D5D">
              <w:rPr>
                <w:rFonts w:ascii="Bodoni MT" w:hAnsi="Bodoni MT"/>
                <w:b/>
              </w:rPr>
              <w:t>Decision</w:t>
            </w:r>
          </w:p>
        </w:tc>
      </w:tr>
      <w:tr w:rsidR="001C66BF" w:rsidRPr="00412D5D" w14:paraId="1D98E2D4" w14:textId="77777777" w:rsidTr="00034F31">
        <w:trPr>
          <w:trHeight w:val="230"/>
          <w:jc w:val="center"/>
        </w:trPr>
        <w:tc>
          <w:tcPr>
            <w:tcW w:w="1106" w:type="dxa"/>
            <w:tcBorders>
              <w:left w:val="nil"/>
              <w:right w:val="nil"/>
            </w:tcBorders>
          </w:tcPr>
          <w:p w14:paraId="03E78C5E" w14:textId="77777777" w:rsidR="001C66BF" w:rsidRPr="00412D5D" w:rsidRDefault="001C66BF" w:rsidP="00034F31">
            <w:pPr>
              <w:pStyle w:val="TableParagraph"/>
              <w:spacing w:line="211" w:lineRule="exact"/>
              <w:ind w:left="141" w:right="132"/>
              <w:rPr>
                <w:rFonts w:ascii="Bodoni MT" w:hAnsi="Bodoni MT"/>
              </w:rPr>
            </w:pPr>
            <w:r w:rsidRPr="00412D5D">
              <w:rPr>
                <w:rFonts w:ascii="Bodoni MT" w:hAnsi="Bodoni MT"/>
              </w:rPr>
              <w:t>0,894</w:t>
            </w:r>
          </w:p>
        </w:tc>
        <w:tc>
          <w:tcPr>
            <w:tcW w:w="1469" w:type="dxa"/>
            <w:tcBorders>
              <w:left w:val="nil"/>
              <w:right w:val="nil"/>
            </w:tcBorders>
          </w:tcPr>
          <w:p w14:paraId="6500B07D" w14:textId="77777777" w:rsidR="001C66BF" w:rsidRPr="00412D5D" w:rsidRDefault="001C66BF" w:rsidP="00034F31">
            <w:pPr>
              <w:pStyle w:val="TableParagraph"/>
              <w:spacing w:line="211" w:lineRule="exact"/>
              <w:ind w:left="220" w:right="217"/>
              <w:rPr>
                <w:rFonts w:ascii="Bodoni MT" w:hAnsi="Bodoni MT"/>
              </w:rPr>
            </w:pPr>
            <w:r w:rsidRPr="00412D5D">
              <w:rPr>
                <w:rFonts w:ascii="Bodoni MT" w:hAnsi="Bodoni MT"/>
              </w:rPr>
              <w:t>0,18</w:t>
            </w:r>
          </w:p>
        </w:tc>
        <w:tc>
          <w:tcPr>
            <w:tcW w:w="851" w:type="dxa"/>
            <w:tcBorders>
              <w:left w:val="nil"/>
              <w:right w:val="nil"/>
            </w:tcBorders>
          </w:tcPr>
          <w:p w14:paraId="667F8A0B" w14:textId="77777777" w:rsidR="001C66BF" w:rsidRPr="00412D5D" w:rsidRDefault="001C66BF" w:rsidP="00034F31">
            <w:pPr>
              <w:pStyle w:val="TableParagraph"/>
              <w:spacing w:line="211" w:lineRule="exact"/>
              <w:ind w:right="366"/>
              <w:jc w:val="right"/>
              <w:rPr>
                <w:rFonts w:ascii="Bodoni MT" w:hAnsi="Bodoni MT"/>
              </w:rPr>
            </w:pPr>
            <w:r w:rsidRPr="00412D5D">
              <w:rPr>
                <w:rFonts w:ascii="Bodoni MT" w:hAnsi="Bodoni MT"/>
              </w:rPr>
              <w:t>1</w:t>
            </w:r>
          </w:p>
        </w:tc>
        <w:tc>
          <w:tcPr>
            <w:tcW w:w="1175" w:type="dxa"/>
            <w:tcBorders>
              <w:left w:val="nil"/>
              <w:right w:val="nil"/>
            </w:tcBorders>
          </w:tcPr>
          <w:p w14:paraId="45DFB1A5" w14:textId="77777777" w:rsidR="001C66BF" w:rsidRPr="00412D5D" w:rsidRDefault="001C66BF" w:rsidP="00034F31">
            <w:pPr>
              <w:pStyle w:val="TableParagraph"/>
              <w:spacing w:line="211" w:lineRule="exact"/>
              <w:ind w:left="343" w:right="331"/>
              <w:rPr>
                <w:rFonts w:ascii="Bodoni MT" w:hAnsi="Bodoni MT"/>
              </w:rPr>
            </w:pPr>
            <w:r w:rsidRPr="00412D5D">
              <w:rPr>
                <w:rFonts w:ascii="Bodoni MT" w:hAnsi="Bodoni MT"/>
              </w:rPr>
              <w:t>62</w:t>
            </w:r>
          </w:p>
        </w:tc>
        <w:tc>
          <w:tcPr>
            <w:tcW w:w="1920" w:type="dxa"/>
            <w:tcBorders>
              <w:left w:val="nil"/>
              <w:right w:val="nil"/>
            </w:tcBorders>
          </w:tcPr>
          <w:p w14:paraId="31AEE521" w14:textId="77777777" w:rsidR="001C66BF" w:rsidRPr="00412D5D" w:rsidRDefault="001C66BF" w:rsidP="00034F31">
            <w:pPr>
              <w:pStyle w:val="TableParagraph"/>
              <w:spacing w:line="211" w:lineRule="exact"/>
              <w:ind w:left="198" w:right="192"/>
              <w:rPr>
                <w:rFonts w:ascii="Bodoni MT" w:hAnsi="Bodoni MT"/>
              </w:rPr>
            </w:pPr>
            <w:r w:rsidRPr="00412D5D">
              <w:rPr>
                <w:rFonts w:ascii="Bodoni MT" w:hAnsi="Bodoni MT"/>
              </w:rPr>
              <w:t>Homogeneous</w:t>
            </w:r>
          </w:p>
        </w:tc>
      </w:tr>
    </w:tbl>
    <w:p w14:paraId="0D42AF91" w14:textId="77777777" w:rsidR="001C66BF" w:rsidRPr="00412D5D" w:rsidRDefault="001C66BF" w:rsidP="001C66BF">
      <w:pPr>
        <w:pStyle w:val="BodyText"/>
        <w:spacing w:line="276" w:lineRule="auto"/>
        <w:ind w:right="109"/>
        <w:jc w:val="both"/>
        <w:rPr>
          <w:rFonts w:ascii="Bodoni MT" w:hAnsi="Bodoni MT"/>
          <w:sz w:val="22"/>
          <w:szCs w:val="22"/>
        </w:rPr>
      </w:pPr>
    </w:p>
    <w:p w14:paraId="52560B44" w14:textId="77777777" w:rsidR="001C66BF" w:rsidRPr="00412D5D" w:rsidRDefault="001C66BF" w:rsidP="001C66BF">
      <w:pPr>
        <w:ind w:firstLine="426"/>
        <w:jc w:val="both"/>
        <w:rPr>
          <w:rFonts w:ascii="Bodoni MT" w:hAnsi="Bodoni MT"/>
        </w:rPr>
      </w:pPr>
      <w:r w:rsidRPr="00412D5D">
        <w:rPr>
          <w:rFonts w:ascii="Bodoni MT" w:hAnsi="Bodoni MT"/>
        </w:rPr>
        <w:t xml:space="preserve">From the table, the normality test shows that the Sig value. Pretest 0.036 &lt; </w:t>
      </w:r>
      <w:r w:rsidRPr="00412D5D">
        <w:rPr>
          <w:rFonts w:ascii="Times New Roman" w:hAnsi="Times New Roman" w:cs="Times New Roman"/>
        </w:rPr>
        <w:t>α</w:t>
      </w:r>
      <w:r w:rsidRPr="00412D5D">
        <w:rPr>
          <w:rFonts w:ascii="Bodoni MT" w:hAnsi="Bodoni MT"/>
        </w:rPr>
        <w:t xml:space="preserve"> and Posttest 0.006 &lt; </w:t>
      </w:r>
      <w:r w:rsidRPr="00412D5D">
        <w:rPr>
          <w:rFonts w:ascii="Times New Roman" w:hAnsi="Times New Roman" w:cs="Times New Roman"/>
        </w:rPr>
        <w:t>α</w:t>
      </w:r>
      <w:r w:rsidRPr="00412D5D">
        <w:rPr>
          <w:rFonts w:ascii="Bodoni MT" w:hAnsi="Bodoni MT"/>
        </w:rPr>
        <w:t xml:space="preserve">. The Homogeneity Test indicates that the Sig. Value is 0.894&gt; </w:t>
      </w:r>
      <w:r w:rsidRPr="00412D5D">
        <w:rPr>
          <w:rFonts w:ascii="Times New Roman" w:hAnsi="Times New Roman" w:cs="Times New Roman"/>
        </w:rPr>
        <w:t>α</w:t>
      </w:r>
      <w:r w:rsidRPr="00412D5D">
        <w:rPr>
          <w:rFonts w:ascii="Bodoni MT" w:hAnsi="Bodoni MT"/>
        </w:rPr>
        <w:t>, so the data from the Pretest and Post-test are "Homogeneous."</w:t>
      </w:r>
    </w:p>
    <w:p w14:paraId="49FB1561" w14:textId="77777777" w:rsidR="001C66BF" w:rsidRPr="00412D5D" w:rsidRDefault="001C66BF" w:rsidP="001C66BF">
      <w:pPr>
        <w:pStyle w:val="Heading2"/>
        <w:keepNext w:val="0"/>
        <w:keepLines w:val="0"/>
        <w:widowControl w:val="0"/>
        <w:tabs>
          <w:tab w:val="left" w:pos="1106"/>
        </w:tabs>
        <w:autoSpaceDE w:val="0"/>
        <w:autoSpaceDN w:val="0"/>
        <w:spacing w:before="0" w:after="37" w:line="240" w:lineRule="auto"/>
        <w:jc w:val="center"/>
        <w:rPr>
          <w:rFonts w:ascii="Bodoni MT" w:hAnsi="Bodoni MT"/>
          <w:color w:val="000000" w:themeColor="text1"/>
          <w:sz w:val="22"/>
          <w:szCs w:val="22"/>
        </w:rPr>
      </w:pPr>
      <w:r w:rsidRPr="00412D5D">
        <w:rPr>
          <w:rFonts w:ascii="Bodoni MT" w:hAnsi="Bodoni MT"/>
          <w:color w:val="000000" w:themeColor="text1"/>
          <w:sz w:val="22"/>
          <w:szCs w:val="22"/>
        </w:rPr>
        <w:t>Table 5. Kinesthetic Learning Style Prerequisite Test Results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8"/>
        <w:gridCol w:w="1576"/>
        <w:gridCol w:w="851"/>
        <w:gridCol w:w="1175"/>
        <w:gridCol w:w="1778"/>
      </w:tblGrid>
      <w:tr w:rsidR="001C66BF" w:rsidRPr="00412D5D" w14:paraId="0D1D7F3A" w14:textId="77777777" w:rsidTr="00034F31">
        <w:trPr>
          <w:trHeight w:val="230"/>
          <w:jc w:val="center"/>
        </w:trPr>
        <w:tc>
          <w:tcPr>
            <w:tcW w:w="1708" w:type="dxa"/>
            <w:vMerge w:val="restart"/>
            <w:tcBorders>
              <w:left w:val="nil"/>
              <w:right w:val="nil"/>
            </w:tcBorders>
          </w:tcPr>
          <w:p w14:paraId="407016BC" w14:textId="77777777" w:rsidR="001C66BF" w:rsidRPr="00412D5D" w:rsidRDefault="001C66BF" w:rsidP="00034F31">
            <w:pPr>
              <w:pStyle w:val="TableParagraph"/>
              <w:spacing w:before="8"/>
              <w:rPr>
                <w:rFonts w:ascii="Bodoni MT" w:hAnsi="Bodoni MT"/>
                <w:b/>
                <w:color w:val="000000" w:themeColor="text1"/>
              </w:rPr>
            </w:pPr>
          </w:p>
          <w:p w14:paraId="272504BD" w14:textId="77777777" w:rsidR="001C66BF" w:rsidRPr="00412D5D" w:rsidRDefault="001C66BF" w:rsidP="00034F31">
            <w:pPr>
              <w:pStyle w:val="TableParagraph"/>
              <w:ind w:left="250"/>
              <w:rPr>
                <w:rFonts w:ascii="Bodoni MT" w:hAnsi="Bodoni MT"/>
                <w:b/>
                <w:color w:val="000000" w:themeColor="text1"/>
              </w:rPr>
            </w:pPr>
            <w:r w:rsidRPr="00412D5D">
              <w:rPr>
                <w:rFonts w:ascii="Bodoni MT" w:hAnsi="Bodoni MT"/>
                <w:b/>
                <w:color w:val="000000" w:themeColor="text1"/>
              </w:rPr>
              <w:t>Results</w:t>
            </w:r>
          </w:p>
        </w:tc>
        <w:tc>
          <w:tcPr>
            <w:tcW w:w="3602" w:type="dxa"/>
            <w:gridSpan w:val="3"/>
            <w:tcBorders>
              <w:left w:val="nil"/>
              <w:right w:val="nil"/>
            </w:tcBorders>
          </w:tcPr>
          <w:p w14:paraId="5233835A" w14:textId="77777777" w:rsidR="001C66BF" w:rsidRPr="00412D5D" w:rsidRDefault="001C66BF" w:rsidP="00034F31">
            <w:pPr>
              <w:pStyle w:val="TableParagraph"/>
              <w:ind w:right="1215"/>
              <w:jc w:val="center"/>
              <w:rPr>
                <w:rFonts w:ascii="Bodoni MT" w:hAnsi="Bodoni MT"/>
                <w:b/>
                <w:color w:val="000000" w:themeColor="text1"/>
              </w:rPr>
            </w:pPr>
            <w:r w:rsidRPr="00412D5D">
              <w:rPr>
                <w:rFonts w:ascii="Bodoni MT" w:hAnsi="Bodoni MT"/>
                <w:b/>
                <w:color w:val="000000" w:themeColor="text1"/>
              </w:rPr>
              <w:t xml:space="preserve">                        Normality</w:t>
            </w:r>
          </w:p>
        </w:tc>
        <w:tc>
          <w:tcPr>
            <w:tcW w:w="1778" w:type="dxa"/>
            <w:vMerge w:val="restart"/>
            <w:tcBorders>
              <w:left w:val="nil"/>
              <w:right w:val="nil"/>
            </w:tcBorders>
          </w:tcPr>
          <w:p w14:paraId="1D42F27B" w14:textId="77777777" w:rsidR="001C66BF" w:rsidRPr="00412D5D" w:rsidRDefault="001C66BF" w:rsidP="00034F31">
            <w:pPr>
              <w:pStyle w:val="TableParagraph"/>
              <w:spacing w:before="8"/>
              <w:rPr>
                <w:rFonts w:ascii="Bodoni MT" w:hAnsi="Bodoni MT"/>
                <w:b/>
                <w:color w:val="000000" w:themeColor="text1"/>
              </w:rPr>
            </w:pPr>
          </w:p>
          <w:p w14:paraId="2C5D29E8" w14:textId="77777777" w:rsidR="001C66BF" w:rsidRPr="00412D5D" w:rsidRDefault="001C66BF" w:rsidP="00034F31">
            <w:pPr>
              <w:pStyle w:val="TableParagraph"/>
              <w:ind w:left="218"/>
              <w:rPr>
                <w:rFonts w:ascii="Bodoni MT" w:hAnsi="Bodoni MT"/>
                <w:b/>
                <w:color w:val="000000" w:themeColor="text1"/>
              </w:rPr>
            </w:pPr>
            <w:r w:rsidRPr="00412D5D">
              <w:rPr>
                <w:rFonts w:ascii="Bodoni MT" w:hAnsi="Bodoni MT"/>
                <w:b/>
                <w:color w:val="000000" w:themeColor="text1"/>
              </w:rPr>
              <w:t>Decision</w:t>
            </w:r>
          </w:p>
        </w:tc>
      </w:tr>
      <w:tr w:rsidR="001C66BF" w:rsidRPr="00412D5D" w14:paraId="37E214D2" w14:textId="77777777" w:rsidTr="00034F31">
        <w:trPr>
          <w:trHeight w:val="230"/>
          <w:jc w:val="center"/>
        </w:trPr>
        <w:tc>
          <w:tcPr>
            <w:tcW w:w="1708" w:type="dxa"/>
            <w:vMerge/>
            <w:tcBorders>
              <w:top w:val="nil"/>
              <w:left w:val="nil"/>
              <w:right w:val="nil"/>
            </w:tcBorders>
          </w:tcPr>
          <w:p w14:paraId="3FA694A9" w14:textId="77777777" w:rsidR="001C66BF" w:rsidRPr="00412D5D" w:rsidRDefault="001C66BF" w:rsidP="00034F31">
            <w:pPr>
              <w:rPr>
                <w:rFonts w:ascii="Bodoni MT" w:hAnsi="Bodoni MT"/>
                <w:color w:val="000000" w:themeColor="text1"/>
              </w:rPr>
            </w:pPr>
          </w:p>
        </w:tc>
        <w:tc>
          <w:tcPr>
            <w:tcW w:w="3602" w:type="dxa"/>
            <w:gridSpan w:val="3"/>
            <w:tcBorders>
              <w:left w:val="nil"/>
              <w:right w:val="nil"/>
            </w:tcBorders>
          </w:tcPr>
          <w:p w14:paraId="74A1E0E5" w14:textId="77777777" w:rsidR="001C66BF" w:rsidRPr="00412D5D" w:rsidRDefault="001C66BF" w:rsidP="00034F31">
            <w:pPr>
              <w:pStyle w:val="TableParagraph"/>
              <w:ind w:left="839"/>
              <w:rPr>
                <w:rFonts w:ascii="Bodoni MT" w:hAnsi="Bodoni MT"/>
                <w:b/>
                <w:color w:val="000000" w:themeColor="text1"/>
              </w:rPr>
            </w:pPr>
            <w:proofErr w:type="spellStart"/>
            <w:r w:rsidRPr="00412D5D">
              <w:rPr>
                <w:rFonts w:ascii="Bodoni MT" w:hAnsi="Bodoni MT"/>
                <w:b/>
                <w:color w:val="000000" w:themeColor="text1"/>
              </w:rPr>
              <w:t>Kolmogrov</w:t>
            </w:r>
            <w:proofErr w:type="spellEnd"/>
            <w:r w:rsidRPr="00412D5D">
              <w:rPr>
                <w:rFonts w:ascii="Bodoni MT" w:hAnsi="Bodoni MT"/>
                <w:b/>
                <w:color w:val="000000" w:themeColor="text1"/>
              </w:rPr>
              <w:t xml:space="preserve"> Smirnov</w:t>
            </w:r>
          </w:p>
        </w:tc>
        <w:tc>
          <w:tcPr>
            <w:tcW w:w="1778" w:type="dxa"/>
            <w:vMerge/>
            <w:tcBorders>
              <w:top w:val="nil"/>
              <w:left w:val="nil"/>
              <w:right w:val="nil"/>
            </w:tcBorders>
          </w:tcPr>
          <w:p w14:paraId="013DB8AA" w14:textId="77777777" w:rsidR="001C66BF" w:rsidRPr="00412D5D" w:rsidRDefault="001C66BF" w:rsidP="00034F31">
            <w:pPr>
              <w:rPr>
                <w:rFonts w:ascii="Bodoni MT" w:hAnsi="Bodoni MT"/>
                <w:color w:val="000000" w:themeColor="text1"/>
              </w:rPr>
            </w:pPr>
          </w:p>
        </w:tc>
      </w:tr>
      <w:tr w:rsidR="001C66BF" w:rsidRPr="00412D5D" w14:paraId="444F22B0" w14:textId="77777777" w:rsidTr="00034F31">
        <w:trPr>
          <w:trHeight w:val="230"/>
          <w:jc w:val="center"/>
        </w:trPr>
        <w:tc>
          <w:tcPr>
            <w:tcW w:w="1708" w:type="dxa"/>
            <w:vMerge/>
            <w:tcBorders>
              <w:top w:val="nil"/>
              <w:left w:val="nil"/>
              <w:right w:val="nil"/>
            </w:tcBorders>
          </w:tcPr>
          <w:p w14:paraId="77458591" w14:textId="77777777" w:rsidR="001C66BF" w:rsidRPr="00412D5D" w:rsidRDefault="001C66BF" w:rsidP="00034F31">
            <w:pPr>
              <w:rPr>
                <w:rFonts w:ascii="Bodoni MT" w:hAnsi="Bodoni MT"/>
                <w:color w:val="000000" w:themeColor="text1"/>
              </w:rPr>
            </w:pPr>
          </w:p>
        </w:tc>
        <w:tc>
          <w:tcPr>
            <w:tcW w:w="1576" w:type="dxa"/>
            <w:tcBorders>
              <w:left w:val="nil"/>
              <w:right w:val="nil"/>
            </w:tcBorders>
          </w:tcPr>
          <w:p w14:paraId="412209B5" w14:textId="77777777" w:rsidR="001C66BF" w:rsidRPr="00412D5D" w:rsidRDefault="001C66BF" w:rsidP="00034F31">
            <w:pPr>
              <w:pStyle w:val="TableParagraph"/>
              <w:ind w:left="218" w:right="218"/>
              <w:rPr>
                <w:rFonts w:ascii="Bodoni MT" w:hAnsi="Bodoni MT"/>
                <w:b/>
                <w:color w:val="000000" w:themeColor="text1"/>
              </w:rPr>
            </w:pPr>
            <w:r w:rsidRPr="00412D5D">
              <w:rPr>
                <w:rFonts w:ascii="Bodoni MT" w:hAnsi="Bodoni MT"/>
                <w:b/>
                <w:color w:val="000000" w:themeColor="text1"/>
              </w:rPr>
              <w:t>Statistics</w:t>
            </w:r>
          </w:p>
        </w:tc>
        <w:tc>
          <w:tcPr>
            <w:tcW w:w="851" w:type="dxa"/>
            <w:tcBorders>
              <w:left w:val="nil"/>
              <w:right w:val="nil"/>
            </w:tcBorders>
          </w:tcPr>
          <w:p w14:paraId="51DB2C29" w14:textId="77777777" w:rsidR="001C66BF" w:rsidRPr="00412D5D" w:rsidRDefault="001C66BF" w:rsidP="00034F31">
            <w:pPr>
              <w:pStyle w:val="TableParagraph"/>
              <w:ind w:right="329"/>
              <w:jc w:val="right"/>
              <w:rPr>
                <w:rFonts w:ascii="Bodoni MT" w:hAnsi="Bodoni MT"/>
                <w:b/>
                <w:color w:val="000000" w:themeColor="text1"/>
              </w:rPr>
            </w:pPr>
            <w:proofErr w:type="spellStart"/>
            <w:r w:rsidRPr="00412D5D">
              <w:rPr>
                <w:rFonts w:ascii="Bodoni MT" w:hAnsi="Bodoni MT"/>
                <w:b/>
                <w:color w:val="000000" w:themeColor="text1"/>
              </w:rPr>
              <w:t>df</w:t>
            </w:r>
            <w:proofErr w:type="spellEnd"/>
          </w:p>
        </w:tc>
        <w:tc>
          <w:tcPr>
            <w:tcW w:w="1175" w:type="dxa"/>
            <w:tcBorders>
              <w:left w:val="nil"/>
              <w:right w:val="nil"/>
            </w:tcBorders>
          </w:tcPr>
          <w:p w14:paraId="6039FEB4" w14:textId="77777777" w:rsidR="001C66BF" w:rsidRPr="00412D5D" w:rsidRDefault="001C66BF" w:rsidP="00034F31">
            <w:pPr>
              <w:pStyle w:val="TableParagraph"/>
              <w:ind w:left="338" w:right="331"/>
              <w:rPr>
                <w:rFonts w:ascii="Bodoni MT" w:hAnsi="Bodoni MT"/>
                <w:b/>
                <w:color w:val="000000" w:themeColor="text1"/>
              </w:rPr>
            </w:pPr>
            <w:r w:rsidRPr="00412D5D">
              <w:rPr>
                <w:rFonts w:ascii="Bodoni MT" w:hAnsi="Bodoni MT"/>
                <w:b/>
                <w:color w:val="000000" w:themeColor="text1"/>
              </w:rPr>
              <w:t>Sig.</w:t>
            </w:r>
          </w:p>
        </w:tc>
        <w:tc>
          <w:tcPr>
            <w:tcW w:w="1778" w:type="dxa"/>
            <w:vMerge/>
            <w:tcBorders>
              <w:top w:val="nil"/>
              <w:left w:val="nil"/>
              <w:right w:val="nil"/>
            </w:tcBorders>
          </w:tcPr>
          <w:p w14:paraId="2BED291E" w14:textId="77777777" w:rsidR="001C66BF" w:rsidRPr="00412D5D" w:rsidRDefault="001C66BF" w:rsidP="00034F31">
            <w:pPr>
              <w:rPr>
                <w:rFonts w:ascii="Bodoni MT" w:hAnsi="Bodoni MT"/>
                <w:color w:val="000000" w:themeColor="text1"/>
              </w:rPr>
            </w:pPr>
          </w:p>
        </w:tc>
      </w:tr>
      <w:tr w:rsidR="001C66BF" w:rsidRPr="00412D5D" w14:paraId="58A7A7F1" w14:textId="77777777" w:rsidTr="00034F31">
        <w:trPr>
          <w:trHeight w:val="230"/>
          <w:jc w:val="center"/>
        </w:trPr>
        <w:tc>
          <w:tcPr>
            <w:tcW w:w="1708" w:type="dxa"/>
            <w:tcBorders>
              <w:left w:val="nil"/>
              <w:right w:val="nil"/>
            </w:tcBorders>
          </w:tcPr>
          <w:p w14:paraId="2AF29C05" w14:textId="77777777" w:rsidR="001C66BF" w:rsidRPr="00412D5D" w:rsidRDefault="001C66BF" w:rsidP="00034F31">
            <w:pPr>
              <w:pStyle w:val="TableParagraph"/>
              <w:ind w:left="135" w:right="132"/>
              <w:rPr>
                <w:rFonts w:ascii="Bodoni MT" w:hAnsi="Bodoni MT"/>
                <w:color w:val="000000" w:themeColor="text1"/>
              </w:rPr>
            </w:pPr>
            <w:r w:rsidRPr="00412D5D">
              <w:rPr>
                <w:rFonts w:ascii="Bodoni MT" w:hAnsi="Bodoni MT"/>
                <w:color w:val="000000" w:themeColor="text1"/>
              </w:rPr>
              <w:t>Pretest</w:t>
            </w:r>
          </w:p>
        </w:tc>
        <w:tc>
          <w:tcPr>
            <w:tcW w:w="1576" w:type="dxa"/>
            <w:tcBorders>
              <w:left w:val="nil"/>
              <w:right w:val="nil"/>
            </w:tcBorders>
          </w:tcPr>
          <w:p w14:paraId="38583CBD" w14:textId="77777777" w:rsidR="001C66BF" w:rsidRPr="00412D5D" w:rsidRDefault="001C66BF" w:rsidP="00034F31">
            <w:pPr>
              <w:pStyle w:val="TableParagraph"/>
              <w:ind w:left="220" w:right="217"/>
              <w:rPr>
                <w:rFonts w:ascii="Bodoni MT" w:hAnsi="Bodoni MT"/>
                <w:color w:val="000000" w:themeColor="text1"/>
              </w:rPr>
            </w:pPr>
            <w:r w:rsidRPr="00412D5D">
              <w:rPr>
                <w:rFonts w:ascii="Bodoni MT" w:hAnsi="Bodoni MT"/>
                <w:color w:val="000000" w:themeColor="text1"/>
              </w:rPr>
              <w:t>0,197</w:t>
            </w:r>
          </w:p>
        </w:tc>
        <w:tc>
          <w:tcPr>
            <w:tcW w:w="851" w:type="dxa"/>
            <w:tcBorders>
              <w:left w:val="nil"/>
              <w:right w:val="nil"/>
            </w:tcBorders>
          </w:tcPr>
          <w:p w14:paraId="2C1EFF18" w14:textId="77777777" w:rsidR="001C66BF" w:rsidRPr="00412D5D" w:rsidRDefault="001C66BF" w:rsidP="00034F31">
            <w:pPr>
              <w:pStyle w:val="TableParagraph"/>
              <w:ind w:right="316"/>
              <w:jc w:val="right"/>
              <w:rPr>
                <w:rFonts w:ascii="Bodoni MT" w:hAnsi="Bodoni MT"/>
                <w:color w:val="000000" w:themeColor="text1"/>
              </w:rPr>
            </w:pPr>
            <w:r w:rsidRPr="00412D5D">
              <w:rPr>
                <w:rFonts w:ascii="Bodoni MT" w:hAnsi="Bodoni MT"/>
                <w:color w:val="000000" w:themeColor="text1"/>
              </w:rPr>
              <w:t>11</w:t>
            </w:r>
          </w:p>
        </w:tc>
        <w:tc>
          <w:tcPr>
            <w:tcW w:w="1175" w:type="dxa"/>
            <w:tcBorders>
              <w:left w:val="nil"/>
              <w:right w:val="nil"/>
            </w:tcBorders>
          </w:tcPr>
          <w:p w14:paraId="3C2D0CCB" w14:textId="77777777" w:rsidR="001C66BF" w:rsidRPr="00412D5D" w:rsidRDefault="001C66BF" w:rsidP="00034F31">
            <w:pPr>
              <w:pStyle w:val="TableParagraph"/>
              <w:ind w:left="343" w:right="331"/>
              <w:rPr>
                <w:rFonts w:ascii="Bodoni MT" w:hAnsi="Bodoni MT"/>
                <w:color w:val="000000" w:themeColor="text1"/>
              </w:rPr>
            </w:pPr>
            <w:r w:rsidRPr="00412D5D">
              <w:rPr>
                <w:rFonts w:ascii="Bodoni MT" w:hAnsi="Bodoni MT"/>
                <w:color w:val="000000" w:themeColor="text1"/>
              </w:rPr>
              <w:t>0,2</w:t>
            </w:r>
          </w:p>
        </w:tc>
        <w:tc>
          <w:tcPr>
            <w:tcW w:w="1778" w:type="dxa"/>
            <w:vMerge w:val="restart"/>
            <w:tcBorders>
              <w:left w:val="nil"/>
              <w:right w:val="nil"/>
            </w:tcBorders>
          </w:tcPr>
          <w:p w14:paraId="27508FC1" w14:textId="77777777" w:rsidR="001C66BF" w:rsidRPr="00412D5D" w:rsidRDefault="001C66BF" w:rsidP="00034F31">
            <w:pPr>
              <w:pStyle w:val="TableParagraph"/>
              <w:spacing w:before="118"/>
              <w:ind w:left="383"/>
              <w:rPr>
                <w:rFonts w:ascii="Bodoni MT" w:hAnsi="Bodoni MT"/>
                <w:color w:val="000000" w:themeColor="text1"/>
              </w:rPr>
            </w:pPr>
            <w:r w:rsidRPr="00412D5D">
              <w:rPr>
                <w:rFonts w:ascii="Bodoni MT" w:hAnsi="Bodoni MT"/>
                <w:color w:val="000000" w:themeColor="text1"/>
              </w:rPr>
              <w:t>Normal</w:t>
            </w:r>
          </w:p>
        </w:tc>
      </w:tr>
      <w:tr w:rsidR="001C66BF" w:rsidRPr="00412D5D" w14:paraId="7DD7F502" w14:textId="77777777" w:rsidTr="00034F31">
        <w:trPr>
          <w:trHeight w:val="230"/>
          <w:jc w:val="center"/>
        </w:trPr>
        <w:tc>
          <w:tcPr>
            <w:tcW w:w="1708" w:type="dxa"/>
            <w:tcBorders>
              <w:left w:val="nil"/>
              <w:right w:val="nil"/>
            </w:tcBorders>
          </w:tcPr>
          <w:p w14:paraId="32E2B7AC" w14:textId="77777777" w:rsidR="001C66BF" w:rsidRPr="00412D5D" w:rsidRDefault="001C66BF" w:rsidP="00034F31">
            <w:pPr>
              <w:pStyle w:val="TableParagraph"/>
              <w:ind w:left="145" w:right="132"/>
              <w:rPr>
                <w:rFonts w:ascii="Bodoni MT" w:hAnsi="Bodoni MT"/>
                <w:color w:val="000000" w:themeColor="text1"/>
              </w:rPr>
            </w:pPr>
            <w:r w:rsidRPr="00412D5D">
              <w:rPr>
                <w:rFonts w:ascii="Bodoni MT" w:hAnsi="Bodoni MT"/>
                <w:color w:val="000000" w:themeColor="text1"/>
              </w:rPr>
              <w:t>Posttest</w:t>
            </w:r>
          </w:p>
        </w:tc>
        <w:tc>
          <w:tcPr>
            <w:tcW w:w="1576" w:type="dxa"/>
            <w:tcBorders>
              <w:left w:val="nil"/>
              <w:right w:val="nil"/>
            </w:tcBorders>
          </w:tcPr>
          <w:p w14:paraId="3EAD0346" w14:textId="77777777" w:rsidR="001C66BF" w:rsidRPr="00412D5D" w:rsidRDefault="001C66BF" w:rsidP="00034F31">
            <w:pPr>
              <w:pStyle w:val="TableParagraph"/>
              <w:ind w:left="220" w:right="217"/>
              <w:rPr>
                <w:rFonts w:ascii="Bodoni MT" w:hAnsi="Bodoni MT"/>
                <w:color w:val="000000" w:themeColor="text1"/>
              </w:rPr>
            </w:pPr>
            <w:r w:rsidRPr="00412D5D">
              <w:rPr>
                <w:rFonts w:ascii="Bodoni MT" w:hAnsi="Bodoni MT"/>
                <w:color w:val="000000" w:themeColor="text1"/>
              </w:rPr>
              <w:t>0,168</w:t>
            </w:r>
          </w:p>
        </w:tc>
        <w:tc>
          <w:tcPr>
            <w:tcW w:w="851" w:type="dxa"/>
            <w:tcBorders>
              <w:left w:val="nil"/>
              <w:right w:val="nil"/>
            </w:tcBorders>
          </w:tcPr>
          <w:p w14:paraId="0E635A57" w14:textId="77777777" w:rsidR="001C66BF" w:rsidRPr="00412D5D" w:rsidRDefault="001C66BF" w:rsidP="00034F31">
            <w:pPr>
              <w:pStyle w:val="TableParagraph"/>
              <w:ind w:right="316"/>
              <w:jc w:val="right"/>
              <w:rPr>
                <w:rFonts w:ascii="Bodoni MT" w:hAnsi="Bodoni MT"/>
                <w:color w:val="000000" w:themeColor="text1"/>
              </w:rPr>
            </w:pPr>
            <w:r w:rsidRPr="00412D5D">
              <w:rPr>
                <w:rFonts w:ascii="Bodoni MT" w:hAnsi="Bodoni MT"/>
                <w:color w:val="000000" w:themeColor="text1"/>
              </w:rPr>
              <w:t>11</w:t>
            </w:r>
          </w:p>
        </w:tc>
        <w:tc>
          <w:tcPr>
            <w:tcW w:w="1175" w:type="dxa"/>
            <w:tcBorders>
              <w:left w:val="nil"/>
              <w:right w:val="nil"/>
            </w:tcBorders>
          </w:tcPr>
          <w:p w14:paraId="148D8124" w14:textId="77777777" w:rsidR="001C66BF" w:rsidRPr="00412D5D" w:rsidRDefault="001C66BF" w:rsidP="00034F31">
            <w:pPr>
              <w:pStyle w:val="TableParagraph"/>
              <w:ind w:left="343" w:right="331"/>
              <w:rPr>
                <w:rFonts w:ascii="Bodoni MT" w:hAnsi="Bodoni MT"/>
                <w:color w:val="000000" w:themeColor="text1"/>
              </w:rPr>
            </w:pPr>
            <w:r w:rsidRPr="00412D5D">
              <w:rPr>
                <w:rFonts w:ascii="Bodoni MT" w:hAnsi="Bodoni MT"/>
                <w:color w:val="000000" w:themeColor="text1"/>
              </w:rPr>
              <w:t>0,2</w:t>
            </w:r>
          </w:p>
        </w:tc>
        <w:tc>
          <w:tcPr>
            <w:tcW w:w="1778" w:type="dxa"/>
            <w:vMerge/>
            <w:tcBorders>
              <w:top w:val="nil"/>
              <w:left w:val="nil"/>
              <w:right w:val="nil"/>
            </w:tcBorders>
          </w:tcPr>
          <w:p w14:paraId="13A00B23" w14:textId="77777777" w:rsidR="001C66BF" w:rsidRPr="00412D5D" w:rsidRDefault="001C66BF" w:rsidP="00034F31">
            <w:pPr>
              <w:rPr>
                <w:rFonts w:ascii="Bodoni MT" w:hAnsi="Bodoni MT"/>
                <w:color w:val="000000" w:themeColor="text1"/>
              </w:rPr>
            </w:pPr>
          </w:p>
        </w:tc>
      </w:tr>
      <w:tr w:rsidR="001C66BF" w:rsidRPr="00412D5D" w14:paraId="720831D8" w14:textId="77777777" w:rsidTr="00034F31">
        <w:trPr>
          <w:trHeight w:val="230"/>
          <w:jc w:val="center"/>
        </w:trPr>
        <w:tc>
          <w:tcPr>
            <w:tcW w:w="7088" w:type="dxa"/>
            <w:gridSpan w:val="5"/>
            <w:tcBorders>
              <w:left w:val="nil"/>
              <w:right w:val="nil"/>
            </w:tcBorders>
          </w:tcPr>
          <w:p w14:paraId="60DF4FE0" w14:textId="77777777" w:rsidR="001C66BF" w:rsidRPr="00412D5D" w:rsidRDefault="001C66BF" w:rsidP="00034F31">
            <w:pPr>
              <w:pStyle w:val="TableParagraph"/>
              <w:rPr>
                <w:rFonts w:ascii="Bodoni MT" w:hAnsi="Bodoni MT"/>
                <w:color w:val="000000" w:themeColor="text1"/>
              </w:rPr>
            </w:pPr>
          </w:p>
        </w:tc>
      </w:tr>
      <w:tr w:rsidR="001C66BF" w:rsidRPr="00412D5D" w14:paraId="569C4069" w14:textId="77777777" w:rsidTr="00034F31">
        <w:trPr>
          <w:trHeight w:val="230"/>
          <w:jc w:val="center"/>
        </w:trPr>
        <w:tc>
          <w:tcPr>
            <w:tcW w:w="7088" w:type="dxa"/>
            <w:gridSpan w:val="5"/>
            <w:tcBorders>
              <w:left w:val="nil"/>
              <w:right w:val="nil"/>
            </w:tcBorders>
          </w:tcPr>
          <w:p w14:paraId="3F6D13C5" w14:textId="77777777" w:rsidR="001C66BF" w:rsidRPr="00412D5D" w:rsidRDefault="001C66BF" w:rsidP="00034F31">
            <w:pPr>
              <w:pStyle w:val="TableParagraph"/>
              <w:ind w:left="2305" w:right="2295"/>
              <w:rPr>
                <w:rFonts w:ascii="Bodoni MT" w:hAnsi="Bodoni MT"/>
                <w:b/>
                <w:color w:val="000000" w:themeColor="text1"/>
              </w:rPr>
            </w:pPr>
            <w:r w:rsidRPr="00412D5D">
              <w:rPr>
                <w:rFonts w:ascii="Bodoni MT" w:hAnsi="Bodoni MT"/>
                <w:b/>
                <w:color w:val="000000" w:themeColor="text1"/>
              </w:rPr>
              <w:t>Homogeneity</w:t>
            </w:r>
          </w:p>
        </w:tc>
      </w:tr>
      <w:tr w:rsidR="001C66BF" w:rsidRPr="00412D5D" w14:paraId="17D93BEB" w14:textId="77777777" w:rsidTr="00034F31">
        <w:trPr>
          <w:trHeight w:val="230"/>
          <w:jc w:val="center"/>
        </w:trPr>
        <w:tc>
          <w:tcPr>
            <w:tcW w:w="1708" w:type="dxa"/>
            <w:tcBorders>
              <w:left w:val="nil"/>
              <w:right w:val="nil"/>
            </w:tcBorders>
          </w:tcPr>
          <w:p w14:paraId="435FDFCD" w14:textId="77777777" w:rsidR="001C66BF" w:rsidRPr="00412D5D" w:rsidRDefault="001C66BF" w:rsidP="00034F31">
            <w:pPr>
              <w:pStyle w:val="TableParagraph"/>
              <w:ind w:left="136" w:right="132"/>
              <w:rPr>
                <w:rFonts w:ascii="Bodoni MT" w:hAnsi="Bodoni MT"/>
                <w:b/>
                <w:color w:val="000000" w:themeColor="text1"/>
              </w:rPr>
            </w:pPr>
            <w:r w:rsidRPr="00412D5D">
              <w:rPr>
                <w:rFonts w:ascii="Bodoni MT" w:hAnsi="Bodoni MT"/>
                <w:b/>
                <w:color w:val="000000" w:themeColor="text1"/>
              </w:rPr>
              <w:t>Sig</w:t>
            </w:r>
          </w:p>
        </w:tc>
        <w:tc>
          <w:tcPr>
            <w:tcW w:w="1576" w:type="dxa"/>
            <w:tcBorders>
              <w:left w:val="nil"/>
              <w:right w:val="nil"/>
            </w:tcBorders>
          </w:tcPr>
          <w:p w14:paraId="50198547" w14:textId="77777777" w:rsidR="001C66BF" w:rsidRPr="00412D5D" w:rsidRDefault="001C66BF" w:rsidP="00034F31">
            <w:pPr>
              <w:pStyle w:val="TableParagraph"/>
              <w:ind w:left="220" w:right="218"/>
              <w:rPr>
                <w:rFonts w:ascii="Bodoni MT" w:hAnsi="Bodoni MT"/>
                <w:b/>
                <w:color w:val="000000" w:themeColor="text1"/>
              </w:rPr>
            </w:pPr>
            <w:proofErr w:type="spellStart"/>
            <w:r w:rsidRPr="00412D5D">
              <w:rPr>
                <w:rFonts w:ascii="Bodoni MT" w:hAnsi="Bodoni MT"/>
                <w:b/>
                <w:color w:val="000000" w:themeColor="text1"/>
              </w:rPr>
              <w:t>Levene</w:t>
            </w:r>
            <w:proofErr w:type="spellEnd"/>
            <w:r w:rsidRPr="00412D5D">
              <w:rPr>
                <w:rFonts w:ascii="Bodoni MT" w:hAnsi="Bodoni MT"/>
                <w:b/>
                <w:color w:val="000000" w:themeColor="text1"/>
              </w:rPr>
              <w:t xml:space="preserve"> Test</w:t>
            </w:r>
          </w:p>
        </w:tc>
        <w:tc>
          <w:tcPr>
            <w:tcW w:w="851" w:type="dxa"/>
            <w:tcBorders>
              <w:left w:val="nil"/>
              <w:right w:val="nil"/>
            </w:tcBorders>
          </w:tcPr>
          <w:p w14:paraId="7E1ACB68" w14:textId="77777777" w:rsidR="001C66BF" w:rsidRPr="00412D5D" w:rsidRDefault="001C66BF" w:rsidP="00034F31">
            <w:pPr>
              <w:pStyle w:val="TableParagraph"/>
              <w:ind w:right="275"/>
              <w:jc w:val="right"/>
              <w:rPr>
                <w:rFonts w:ascii="Bodoni MT" w:hAnsi="Bodoni MT"/>
                <w:b/>
                <w:color w:val="000000" w:themeColor="text1"/>
              </w:rPr>
            </w:pPr>
            <w:r w:rsidRPr="00412D5D">
              <w:rPr>
                <w:rFonts w:ascii="Bodoni MT" w:hAnsi="Bodoni MT"/>
                <w:b/>
                <w:color w:val="000000" w:themeColor="text1"/>
              </w:rPr>
              <w:t>df1</w:t>
            </w:r>
          </w:p>
        </w:tc>
        <w:tc>
          <w:tcPr>
            <w:tcW w:w="1175" w:type="dxa"/>
            <w:tcBorders>
              <w:left w:val="nil"/>
              <w:right w:val="nil"/>
            </w:tcBorders>
          </w:tcPr>
          <w:p w14:paraId="64FA5415" w14:textId="77777777" w:rsidR="001C66BF" w:rsidRPr="00412D5D" w:rsidRDefault="001C66BF" w:rsidP="00034F31">
            <w:pPr>
              <w:pStyle w:val="TableParagraph"/>
              <w:ind w:left="343" w:right="331"/>
              <w:rPr>
                <w:rFonts w:ascii="Bodoni MT" w:hAnsi="Bodoni MT"/>
                <w:b/>
                <w:color w:val="000000" w:themeColor="text1"/>
              </w:rPr>
            </w:pPr>
            <w:r w:rsidRPr="00412D5D">
              <w:rPr>
                <w:rFonts w:ascii="Bodoni MT" w:hAnsi="Bodoni MT"/>
                <w:b/>
                <w:color w:val="000000" w:themeColor="text1"/>
              </w:rPr>
              <w:t>df2</w:t>
            </w:r>
          </w:p>
        </w:tc>
        <w:tc>
          <w:tcPr>
            <w:tcW w:w="1778" w:type="dxa"/>
            <w:tcBorders>
              <w:left w:val="nil"/>
              <w:right w:val="nil"/>
            </w:tcBorders>
          </w:tcPr>
          <w:p w14:paraId="72789AD8" w14:textId="77777777" w:rsidR="001C66BF" w:rsidRPr="00412D5D" w:rsidRDefault="001C66BF" w:rsidP="00034F31">
            <w:pPr>
              <w:pStyle w:val="TableParagraph"/>
              <w:ind w:left="198" w:right="198"/>
              <w:rPr>
                <w:rFonts w:ascii="Bodoni MT" w:hAnsi="Bodoni MT"/>
                <w:b/>
                <w:color w:val="000000" w:themeColor="text1"/>
              </w:rPr>
            </w:pPr>
            <w:r w:rsidRPr="00412D5D">
              <w:rPr>
                <w:rFonts w:ascii="Bodoni MT" w:hAnsi="Bodoni MT"/>
                <w:b/>
                <w:color w:val="000000" w:themeColor="text1"/>
              </w:rPr>
              <w:t>Decision</w:t>
            </w:r>
          </w:p>
        </w:tc>
      </w:tr>
      <w:tr w:rsidR="001C66BF" w:rsidRPr="00412D5D" w14:paraId="5D7FBE42" w14:textId="77777777" w:rsidTr="00034F31">
        <w:trPr>
          <w:trHeight w:val="230"/>
          <w:jc w:val="center"/>
        </w:trPr>
        <w:tc>
          <w:tcPr>
            <w:tcW w:w="1708" w:type="dxa"/>
            <w:tcBorders>
              <w:left w:val="nil"/>
              <w:right w:val="nil"/>
            </w:tcBorders>
          </w:tcPr>
          <w:p w14:paraId="03DC6BFC" w14:textId="77777777" w:rsidR="001C66BF" w:rsidRPr="00412D5D" w:rsidRDefault="001C66BF" w:rsidP="00034F31">
            <w:pPr>
              <w:pStyle w:val="TableParagraph"/>
              <w:ind w:left="141" w:right="132"/>
              <w:rPr>
                <w:rFonts w:ascii="Bodoni MT" w:hAnsi="Bodoni MT"/>
                <w:color w:val="000000" w:themeColor="text1"/>
              </w:rPr>
            </w:pPr>
            <w:r w:rsidRPr="00412D5D">
              <w:rPr>
                <w:rFonts w:ascii="Bodoni MT" w:hAnsi="Bodoni MT"/>
                <w:color w:val="000000" w:themeColor="text1"/>
              </w:rPr>
              <w:t>0,785</w:t>
            </w:r>
          </w:p>
        </w:tc>
        <w:tc>
          <w:tcPr>
            <w:tcW w:w="1576" w:type="dxa"/>
            <w:tcBorders>
              <w:left w:val="nil"/>
              <w:right w:val="nil"/>
            </w:tcBorders>
          </w:tcPr>
          <w:p w14:paraId="3A274C35" w14:textId="77777777" w:rsidR="001C66BF" w:rsidRPr="00412D5D" w:rsidRDefault="001C66BF" w:rsidP="00034F31">
            <w:pPr>
              <w:pStyle w:val="TableParagraph"/>
              <w:ind w:left="220" w:right="217"/>
              <w:rPr>
                <w:rFonts w:ascii="Bodoni MT" w:hAnsi="Bodoni MT"/>
                <w:color w:val="000000" w:themeColor="text1"/>
              </w:rPr>
            </w:pPr>
            <w:r w:rsidRPr="00412D5D">
              <w:rPr>
                <w:rFonts w:ascii="Bodoni MT" w:hAnsi="Bodoni MT"/>
                <w:color w:val="000000" w:themeColor="text1"/>
              </w:rPr>
              <w:t>0,07</w:t>
            </w:r>
          </w:p>
        </w:tc>
        <w:tc>
          <w:tcPr>
            <w:tcW w:w="851" w:type="dxa"/>
            <w:tcBorders>
              <w:left w:val="nil"/>
              <w:right w:val="nil"/>
            </w:tcBorders>
          </w:tcPr>
          <w:p w14:paraId="10A366CC" w14:textId="77777777" w:rsidR="001C66BF" w:rsidRPr="00412D5D" w:rsidRDefault="001C66BF" w:rsidP="00034F31">
            <w:pPr>
              <w:pStyle w:val="TableParagraph"/>
              <w:ind w:right="366"/>
              <w:jc w:val="right"/>
              <w:rPr>
                <w:rFonts w:ascii="Bodoni MT" w:hAnsi="Bodoni MT"/>
                <w:color w:val="000000" w:themeColor="text1"/>
              </w:rPr>
            </w:pPr>
            <w:r w:rsidRPr="00412D5D">
              <w:rPr>
                <w:rFonts w:ascii="Bodoni MT" w:hAnsi="Bodoni MT"/>
                <w:color w:val="000000" w:themeColor="text1"/>
              </w:rPr>
              <w:t>1</w:t>
            </w:r>
          </w:p>
        </w:tc>
        <w:tc>
          <w:tcPr>
            <w:tcW w:w="1175" w:type="dxa"/>
            <w:tcBorders>
              <w:left w:val="nil"/>
              <w:right w:val="nil"/>
            </w:tcBorders>
          </w:tcPr>
          <w:p w14:paraId="67AB55E8" w14:textId="77777777" w:rsidR="001C66BF" w:rsidRPr="00412D5D" w:rsidRDefault="001C66BF" w:rsidP="00034F31">
            <w:pPr>
              <w:pStyle w:val="TableParagraph"/>
              <w:ind w:left="343" w:right="331"/>
              <w:rPr>
                <w:rFonts w:ascii="Bodoni MT" w:hAnsi="Bodoni MT"/>
                <w:color w:val="000000" w:themeColor="text1"/>
              </w:rPr>
            </w:pPr>
            <w:r w:rsidRPr="00412D5D">
              <w:rPr>
                <w:rFonts w:ascii="Bodoni MT" w:hAnsi="Bodoni MT"/>
                <w:color w:val="000000" w:themeColor="text1"/>
              </w:rPr>
              <w:t>20</w:t>
            </w:r>
          </w:p>
        </w:tc>
        <w:tc>
          <w:tcPr>
            <w:tcW w:w="1778" w:type="dxa"/>
            <w:tcBorders>
              <w:left w:val="nil"/>
              <w:right w:val="nil"/>
            </w:tcBorders>
          </w:tcPr>
          <w:p w14:paraId="330B8F28" w14:textId="77777777" w:rsidR="001C66BF" w:rsidRPr="00412D5D" w:rsidRDefault="001C66BF" w:rsidP="00034F31">
            <w:pPr>
              <w:pStyle w:val="TableParagraph"/>
              <w:ind w:left="198" w:right="192"/>
              <w:rPr>
                <w:rFonts w:ascii="Bodoni MT" w:hAnsi="Bodoni MT"/>
                <w:color w:val="000000" w:themeColor="text1"/>
              </w:rPr>
            </w:pPr>
            <w:r w:rsidRPr="00412D5D">
              <w:rPr>
                <w:rFonts w:ascii="Bodoni MT" w:hAnsi="Bodoni MT"/>
                <w:color w:val="000000" w:themeColor="text1"/>
              </w:rPr>
              <w:t>Homogeneous</w:t>
            </w:r>
          </w:p>
        </w:tc>
      </w:tr>
    </w:tbl>
    <w:p w14:paraId="08B2C3D2" w14:textId="77777777" w:rsidR="001C66BF" w:rsidRPr="00412D5D" w:rsidRDefault="001C66BF" w:rsidP="001C66BF">
      <w:pPr>
        <w:ind w:firstLine="426"/>
        <w:jc w:val="both"/>
        <w:rPr>
          <w:rFonts w:ascii="Bodoni MT" w:hAnsi="Bodoni MT"/>
        </w:rPr>
      </w:pPr>
      <w:r w:rsidRPr="00412D5D">
        <w:rPr>
          <w:rFonts w:ascii="Bodoni MT" w:hAnsi="Bodoni MT"/>
        </w:rPr>
        <w:t xml:space="preserve">From the table, the normality test shows that the Sig value. Pretest 0.2 &gt; </w:t>
      </w:r>
      <w:r w:rsidRPr="00412D5D">
        <w:rPr>
          <w:rFonts w:ascii="Times New Roman" w:hAnsi="Times New Roman" w:cs="Times New Roman"/>
        </w:rPr>
        <w:t>α</w:t>
      </w:r>
      <w:r w:rsidRPr="00412D5D">
        <w:rPr>
          <w:rFonts w:ascii="Bodoni MT" w:hAnsi="Bodoni MT"/>
        </w:rPr>
        <w:t xml:space="preserve"> and Post-test 0.2 &gt; </w:t>
      </w:r>
      <w:r w:rsidRPr="00412D5D">
        <w:rPr>
          <w:rFonts w:ascii="Times New Roman" w:hAnsi="Times New Roman" w:cs="Times New Roman"/>
        </w:rPr>
        <w:t>α</w:t>
      </w:r>
      <w:r w:rsidRPr="00412D5D">
        <w:rPr>
          <w:rFonts w:ascii="Bodoni MT" w:hAnsi="Bodoni MT"/>
        </w:rPr>
        <w:t xml:space="preserve">. so that the Pretest and Post-test data are "non-normally distributed ."The Homogeneity Test shows that the Sig. Value is 0.894 &gt; </w:t>
      </w:r>
      <w:r w:rsidRPr="00412D5D">
        <w:rPr>
          <w:rFonts w:ascii="Times New Roman" w:hAnsi="Times New Roman" w:cs="Times New Roman"/>
        </w:rPr>
        <w:t>α</w:t>
      </w:r>
      <w:r w:rsidRPr="00412D5D">
        <w:rPr>
          <w:rFonts w:ascii="Bodoni MT" w:hAnsi="Bodoni MT"/>
        </w:rPr>
        <w:t>, so the data from the Pretest and Post-test are "Homogeneous."</w:t>
      </w:r>
    </w:p>
    <w:p w14:paraId="4D0EFA99" w14:textId="77777777" w:rsidR="001C66BF" w:rsidRPr="00412D5D" w:rsidRDefault="001C66BF" w:rsidP="001C66BF">
      <w:pPr>
        <w:pStyle w:val="Heading2"/>
        <w:keepNext w:val="0"/>
        <w:keepLines w:val="0"/>
        <w:widowControl w:val="0"/>
        <w:numPr>
          <w:ilvl w:val="1"/>
          <w:numId w:val="1"/>
        </w:numPr>
        <w:tabs>
          <w:tab w:val="left" w:pos="567"/>
        </w:tabs>
        <w:autoSpaceDE w:val="0"/>
        <w:autoSpaceDN w:val="0"/>
        <w:spacing w:before="1" w:after="0" w:line="240" w:lineRule="auto"/>
        <w:ind w:hanging="720"/>
        <w:rPr>
          <w:rFonts w:ascii="Bodoni MT" w:hAnsi="Bodoni MT"/>
          <w:b w:val="0"/>
          <w:i/>
          <w:color w:val="000000" w:themeColor="text1"/>
          <w:sz w:val="22"/>
          <w:szCs w:val="22"/>
        </w:rPr>
      </w:pPr>
      <w:r w:rsidRPr="00412D5D">
        <w:rPr>
          <w:rFonts w:ascii="Bodoni MT" w:hAnsi="Bodoni MT"/>
          <w:i/>
          <w:color w:val="000000" w:themeColor="text1"/>
          <w:sz w:val="22"/>
          <w:szCs w:val="22"/>
        </w:rPr>
        <w:lastRenderedPageBreak/>
        <w:t>Hypothesis testing</w:t>
      </w:r>
    </w:p>
    <w:p w14:paraId="52B098F8" w14:textId="77777777" w:rsidR="001C66BF" w:rsidRPr="00412D5D" w:rsidRDefault="001C66BF" w:rsidP="001C66BF">
      <w:pPr>
        <w:pStyle w:val="BodyText"/>
        <w:spacing w:before="37" w:line="276" w:lineRule="auto"/>
        <w:ind w:right="116" w:firstLine="426"/>
        <w:jc w:val="both"/>
        <w:rPr>
          <w:rFonts w:ascii="Bodoni MT" w:hAnsi="Bodoni MT"/>
          <w:color w:val="000000" w:themeColor="text1"/>
          <w:sz w:val="22"/>
          <w:szCs w:val="22"/>
        </w:rPr>
      </w:pPr>
      <w:r w:rsidRPr="00412D5D">
        <w:rPr>
          <w:rFonts w:ascii="Bodoni MT" w:hAnsi="Bodoni MT"/>
          <w:color w:val="000000" w:themeColor="text1"/>
          <w:sz w:val="22"/>
          <w:szCs w:val="22"/>
        </w:rPr>
        <w:t>The following table presents the results of the hypothesis test for differences in pretest and post-test learning outcomes from each learning style group.</w:t>
      </w:r>
    </w:p>
    <w:p w14:paraId="5BE956AE" w14:textId="77777777" w:rsidR="001C66BF" w:rsidRPr="00412D5D" w:rsidRDefault="001C66BF" w:rsidP="001C66BF">
      <w:pPr>
        <w:pStyle w:val="Heading2"/>
        <w:spacing w:before="3" w:after="38"/>
        <w:ind w:left="746"/>
        <w:jc w:val="center"/>
        <w:rPr>
          <w:rFonts w:ascii="Bodoni MT" w:hAnsi="Bodoni MT"/>
          <w:color w:val="000000" w:themeColor="text1"/>
          <w:sz w:val="22"/>
          <w:szCs w:val="22"/>
        </w:rPr>
      </w:pPr>
      <w:r w:rsidRPr="00412D5D">
        <w:rPr>
          <w:rFonts w:ascii="Bodoni MT" w:hAnsi="Bodoni MT"/>
          <w:color w:val="000000" w:themeColor="text1"/>
          <w:sz w:val="22"/>
          <w:szCs w:val="22"/>
        </w:rPr>
        <w:t>Table 6. Hypothesis Test Results of Differences in Pretest and Post-test Learning Outcomes</w:t>
      </w:r>
    </w:p>
    <w:tbl>
      <w:tblPr>
        <w:tblW w:w="0" w:type="auto"/>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2551"/>
        <w:gridCol w:w="961"/>
        <w:gridCol w:w="2110"/>
      </w:tblGrid>
      <w:tr w:rsidR="001C66BF" w:rsidRPr="00412D5D" w14:paraId="1C87BC8E" w14:textId="77777777" w:rsidTr="00034F31">
        <w:trPr>
          <w:trHeight w:val="230"/>
          <w:jc w:val="center"/>
        </w:trPr>
        <w:tc>
          <w:tcPr>
            <w:tcW w:w="2551" w:type="dxa"/>
          </w:tcPr>
          <w:p w14:paraId="21AF4354" w14:textId="77777777" w:rsidR="001C66BF" w:rsidRPr="00412D5D" w:rsidRDefault="001C66BF" w:rsidP="00034F31">
            <w:pPr>
              <w:pStyle w:val="TableParagraph"/>
              <w:ind w:left="230"/>
              <w:rPr>
                <w:rFonts w:ascii="Bodoni MT" w:hAnsi="Bodoni MT"/>
                <w:b/>
                <w:color w:val="000000" w:themeColor="text1"/>
              </w:rPr>
            </w:pPr>
            <w:r w:rsidRPr="00412D5D">
              <w:rPr>
                <w:rFonts w:ascii="Bodoni MT" w:hAnsi="Bodoni MT"/>
                <w:b/>
                <w:color w:val="000000" w:themeColor="text1"/>
              </w:rPr>
              <w:t>Learning Style Group</w:t>
            </w:r>
          </w:p>
        </w:tc>
        <w:tc>
          <w:tcPr>
            <w:tcW w:w="961" w:type="dxa"/>
          </w:tcPr>
          <w:p w14:paraId="5BB6B97E" w14:textId="77777777" w:rsidR="001C66BF" w:rsidRPr="00412D5D" w:rsidRDefault="001C66BF" w:rsidP="00034F31">
            <w:pPr>
              <w:pStyle w:val="TableParagraph"/>
              <w:ind w:left="320"/>
              <w:rPr>
                <w:rFonts w:ascii="Bodoni MT" w:hAnsi="Bodoni MT"/>
                <w:b/>
                <w:color w:val="000000" w:themeColor="text1"/>
              </w:rPr>
            </w:pPr>
            <w:r w:rsidRPr="00412D5D">
              <w:rPr>
                <w:rFonts w:ascii="Bodoni MT" w:hAnsi="Bodoni MT"/>
                <w:b/>
                <w:color w:val="000000" w:themeColor="text1"/>
              </w:rPr>
              <w:t>Sig.</w:t>
            </w:r>
          </w:p>
        </w:tc>
        <w:tc>
          <w:tcPr>
            <w:tcW w:w="2110" w:type="dxa"/>
          </w:tcPr>
          <w:p w14:paraId="0BF6F7A9" w14:textId="77777777" w:rsidR="001C66BF" w:rsidRPr="00412D5D" w:rsidRDefault="001C66BF" w:rsidP="00034F31">
            <w:pPr>
              <w:pStyle w:val="TableParagraph"/>
              <w:ind w:left="377" w:right="369"/>
              <w:rPr>
                <w:rFonts w:ascii="Bodoni MT" w:hAnsi="Bodoni MT"/>
                <w:b/>
                <w:color w:val="000000" w:themeColor="text1"/>
              </w:rPr>
            </w:pPr>
            <w:r w:rsidRPr="00412D5D">
              <w:rPr>
                <w:rFonts w:ascii="Bodoni MT" w:hAnsi="Bodoni MT"/>
                <w:b/>
                <w:color w:val="000000" w:themeColor="text1"/>
              </w:rPr>
              <w:t>Decision</w:t>
            </w:r>
          </w:p>
        </w:tc>
      </w:tr>
      <w:tr w:rsidR="001C66BF" w:rsidRPr="00412D5D" w14:paraId="46EE938F" w14:textId="77777777" w:rsidTr="00034F31">
        <w:trPr>
          <w:trHeight w:val="235"/>
          <w:jc w:val="center"/>
        </w:trPr>
        <w:tc>
          <w:tcPr>
            <w:tcW w:w="2551" w:type="dxa"/>
            <w:tcBorders>
              <w:bottom w:val="nil"/>
            </w:tcBorders>
          </w:tcPr>
          <w:p w14:paraId="1E5942DE" w14:textId="77777777" w:rsidR="001C66BF" w:rsidRPr="00412D5D" w:rsidRDefault="001C66BF" w:rsidP="00034F31">
            <w:pPr>
              <w:pStyle w:val="TableParagraph"/>
              <w:spacing w:line="215" w:lineRule="exact"/>
              <w:ind w:left="105"/>
              <w:jc w:val="center"/>
              <w:rPr>
                <w:rFonts w:ascii="Bodoni MT" w:hAnsi="Bodoni MT"/>
                <w:color w:val="000000" w:themeColor="text1"/>
              </w:rPr>
            </w:pPr>
            <w:r w:rsidRPr="00412D5D">
              <w:rPr>
                <w:rFonts w:ascii="Bodoni MT" w:hAnsi="Bodoni MT"/>
                <w:color w:val="000000" w:themeColor="text1"/>
              </w:rPr>
              <w:t>Visual</w:t>
            </w:r>
          </w:p>
        </w:tc>
        <w:tc>
          <w:tcPr>
            <w:tcW w:w="961" w:type="dxa"/>
            <w:tcBorders>
              <w:bottom w:val="nil"/>
            </w:tcBorders>
          </w:tcPr>
          <w:p w14:paraId="616709BA" w14:textId="77777777" w:rsidR="001C66BF" w:rsidRPr="00412D5D" w:rsidRDefault="001C66BF" w:rsidP="00034F31">
            <w:pPr>
              <w:pStyle w:val="TableParagraph"/>
              <w:spacing w:line="215" w:lineRule="exact"/>
              <w:ind w:left="105"/>
              <w:jc w:val="center"/>
              <w:rPr>
                <w:rFonts w:ascii="Bodoni MT" w:hAnsi="Bodoni MT"/>
                <w:color w:val="000000" w:themeColor="text1"/>
              </w:rPr>
            </w:pPr>
            <w:r w:rsidRPr="00412D5D">
              <w:rPr>
                <w:rFonts w:ascii="Bodoni MT" w:hAnsi="Bodoni MT"/>
                <w:color w:val="000000" w:themeColor="text1"/>
              </w:rPr>
              <w:t>0,106</w:t>
            </w:r>
          </w:p>
        </w:tc>
        <w:tc>
          <w:tcPr>
            <w:tcW w:w="2110" w:type="dxa"/>
            <w:tcBorders>
              <w:bottom w:val="nil"/>
            </w:tcBorders>
          </w:tcPr>
          <w:p w14:paraId="48ECFE8F" w14:textId="77777777" w:rsidR="001C66BF" w:rsidRPr="00412D5D" w:rsidRDefault="001C66BF" w:rsidP="00034F31">
            <w:pPr>
              <w:pStyle w:val="TableParagraph"/>
              <w:spacing w:line="215" w:lineRule="exact"/>
              <w:ind w:left="373" w:right="369"/>
              <w:jc w:val="center"/>
              <w:rPr>
                <w:rFonts w:ascii="Bodoni MT" w:eastAsia="Times New Roman" w:hAnsi="Bodoni MT"/>
                <w:color w:val="000000" w:themeColor="text1"/>
              </w:rPr>
            </w:pPr>
            <w:r w:rsidRPr="00412D5D">
              <w:rPr>
                <w:rFonts w:ascii="Cambria Math" w:eastAsia="Times New Roman" w:hAnsi="Cambria Math" w:cs="Cambria Math"/>
                <w:color w:val="000000" w:themeColor="text1"/>
                <w:w w:val="105"/>
              </w:rPr>
              <w:t>𝐻</w:t>
            </w:r>
            <w:r w:rsidRPr="00412D5D">
              <w:rPr>
                <w:rFonts w:ascii="Bodoni MT" w:eastAsia="Times New Roman" w:hAnsi="Bodoni MT"/>
                <w:color w:val="000000" w:themeColor="text1"/>
                <w:w w:val="105"/>
                <w:vertAlign w:val="subscript"/>
              </w:rPr>
              <w:t>0</w:t>
            </w:r>
          </w:p>
        </w:tc>
      </w:tr>
      <w:tr w:rsidR="001C66BF" w:rsidRPr="00412D5D" w14:paraId="10C31E07" w14:textId="77777777" w:rsidTr="00034F31">
        <w:trPr>
          <w:trHeight w:val="230"/>
          <w:jc w:val="center"/>
        </w:trPr>
        <w:tc>
          <w:tcPr>
            <w:tcW w:w="2551" w:type="dxa"/>
            <w:tcBorders>
              <w:top w:val="nil"/>
              <w:bottom w:val="nil"/>
            </w:tcBorders>
          </w:tcPr>
          <w:p w14:paraId="499FA619" w14:textId="77777777" w:rsidR="001C66BF" w:rsidRPr="00412D5D" w:rsidRDefault="001C66BF" w:rsidP="00034F31">
            <w:pPr>
              <w:pStyle w:val="TableParagraph"/>
              <w:ind w:left="105"/>
              <w:jc w:val="center"/>
              <w:rPr>
                <w:rFonts w:ascii="Bodoni MT" w:hAnsi="Bodoni MT"/>
                <w:color w:val="000000" w:themeColor="text1"/>
              </w:rPr>
            </w:pPr>
            <w:proofErr w:type="spellStart"/>
            <w:r w:rsidRPr="00412D5D">
              <w:rPr>
                <w:rFonts w:ascii="Bodoni MT" w:hAnsi="Bodoni MT"/>
                <w:color w:val="000000" w:themeColor="text1"/>
              </w:rPr>
              <w:t>Auditorial</w:t>
            </w:r>
            <w:proofErr w:type="spellEnd"/>
          </w:p>
        </w:tc>
        <w:tc>
          <w:tcPr>
            <w:tcW w:w="961" w:type="dxa"/>
            <w:tcBorders>
              <w:top w:val="nil"/>
              <w:bottom w:val="nil"/>
            </w:tcBorders>
          </w:tcPr>
          <w:p w14:paraId="0CB3DC0F" w14:textId="77777777" w:rsidR="001C66BF" w:rsidRPr="00412D5D" w:rsidRDefault="001C66BF" w:rsidP="00034F31">
            <w:pPr>
              <w:pStyle w:val="TableParagraph"/>
              <w:ind w:left="105"/>
              <w:jc w:val="center"/>
              <w:rPr>
                <w:rFonts w:ascii="Bodoni MT" w:hAnsi="Bodoni MT"/>
                <w:color w:val="000000" w:themeColor="text1"/>
              </w:rPr>
            </w:pPr>
            <w:r w:rsidRPr="00412D5D">
              <w:rPr>
                <w:rFonts w:ascii="Bodoni MT" w:hAnsi="Bodoni MT"/>
                <w:color w:val="000000" w:themeColor="text1"/>
              </w:rPr>
              <w:t>0,468</w:t>
            </w:r>
          </w:p>
        </w:tc>
        <w:tc>
          <w:tcPr>
            <w:tcW w:w="2110" w:type="dxa"/>
            <w:tcBorders>
              <w:top w:val="nil"/>
              <w:bottom w:val="nil"/>
            </w:tcBorders>
          </w:tcPr>
          <w:p w14:paraId="6B0DF028" w14:textId="77777777" w:rsidR="001C66BF" w:rsidRPr="00412D5D" w:rsidRDefault="001C66BF" w:rsidP="00034F31">
            <w:pPr>
              <w:pStyle w:val="TableParagraph"/>
              <w:ind w:left="373" w:right="369"/>
              <w:jc w:val="center"/>
              <w:rPr>
                <w:rFonts w:ascii="Bodoni MT" w:eastAsia="Times New Roman" w:hAnsi="Bodoni MT"/>
                <w:color w:val="000000" w:themeColor="text1"/>
              </w:rPr>
            </w:pPr>
            <w:r w:rsidRPr="00412D5D">
              <w:rPr>
                <w:rFonts w:ascii="Cambria Math" w:eastAsia="Times New Roman" w:hAnsi="Cambria Math" w:cs="Cambria Math"/>
                <w:color w:val="000000" w:themeColor="text1"/>
                <w:w w:val="105"/>
              </w:rPr>
              <w:t>𝐻</w:t>
            </w:r>
            <w:r w:rsidRPr="00412D5D">
              <w:rPr>
                <w:rFonts w:ascii="Bodoni MT" w:eastAsia="Times New Roman" w:hAnsi="Bodoni MT"/>
                <w:color w:val="000000" w:themeColor="text1"/>
                <w:w w:val="105"/>
                <w:vertAlign w:val="subscript"/>
              </w:rPr>
              <w:t>0</w:t>
            </w:r>
          </w:p>
        </w:tc>
      </w:tr>
      <w:tr w:rsidR="001C66BF" w:rsidRPr="00412D5D" w14:paraId="66DF7EE5" w14:textId="77777777" w:rsidTr="00034F31">
        <w:trPr>
          <w:trHeight w:val="235"/>
          <w:jc w:val="center"/>
        </w:trPr>
        <w:tc>
          <w:tcPr>
            <w:tcW w:w="2551" w:type="dxa"/>
            <w:tcBorders>
              <w:top w:val="nil"/>
            </w:tcBorders>
          </w:tcPr>
          <w:p w14:paraId="2863B0CF" w14:textId="77777777" w:rsidR="001C66BF" w:rsidRPr="00412D5D" w:rsidRDefault="001C66BF" w:rsidP="00034F31">
            <w:pPr>
              <w:pStyle w:val="TableParagraph"/>
              <w:spacing w:line="215" w:lineRule="exact"/>
              <w:ind w:left="105"/>
              <w:jc w:val="center"/>
              <w:rPr>
                <w:rFonts w:ascii="Bodoni MT" w:hAnsi="Bodoni MT"/>
                <w:color w:val="000000" w:themeColor="text1"/>
              </w:rPr>
            </w:pPr>
            <w:r w:rsidRPr="00412D5D">
              <w:rPr>
                <w:rFonts w:ascii="Bodoni MT" w:hAnsi="Bodoni MT"/>
                <w:color w:val="000000" w:themeColor="text1"/>
              </w:rPr>
              <w:t>Kinesthetic</w:t>
            </w:r>
          </w:p>
        </w:tc>
        <w:tc>
          <w:tcPr>
            <w:tcW w:w="961" w:type="dxa"/>
            <w:tcBorders>
              <w:top w:val="nil"/>
            </w:tcBorders>
          </w:tcPr>
          <w:p w14:paraId="1382CCDE" w14:textId="77777777" w:rsidR="001C66BF" w:rsidRPr="00412D5D" w:rsidRDefault="001C66BF" w:rsidP="00034F31">
            <w:pPr>
              <w:pStyle w:val="TableParagraph"/>
              <w:spacing w:line="215" w:lineRule="exact"/>
              <w:ind w:left="105"/>
              <w:jc w:val="center"/>
              <w:rPr>
                <w:rFonts w:ascii="Bodoni MT" w:hAnsi="Bodoni MT"/>
                <w:color w:val="000000" w:themeColor="text1"/>
              </w:rPr>
            </w:pPr>
            <w:r w:rsidRPr="00412D5D">
              <w:rPr>
                <w:rFonts w:ascii="Bodoni MT" w:hAnsi="Bodoni MT"/>
                <w:color w:val="000000" w:themeColor="text1"/>
              </w:rPr>
              <w:t>1</w:t>
            </w:r>
          </w:p>
        </w:tc>
        <w:tc>
          <w:tcPr>
            <w:tcW w:w="2110" w:type="dxa"/>
            <w:tcBorders>
              <w:top w:val="nil"/>
            </w:tcBorders>
          </w:tcPr>
          <w:p w14:paraId="1BFA280F" w14:textId="77777777" w:rsidR="001C66BF" w:rsidRPr="00412D5D" w:rsidRDefault="001C66BF" w:rsidP="00034F31">
            <w:pPr>
              <w:pStyle w:val="TableParagraph"/>
              <w:spacing w:line="215" w:lineRule="exact"/>
              <w:ind w:left="373" w:right="369"/>
              <w:jc w:val="center"/>
              <w:rPr>
                <w:rFonts w:ascii="Bodoni MT" w:eastAsia="Times New Roman" w:hAnsi="Bodoni MT"/>
                <w:color w:val="000000" w:themeColor="text1"/>
              </w:rPr>
            </w:pPr>
            <w:r w:rsidRPr="00412D5D">
              <w:rPr>
                <w:rFonts w:ascii="Cambria Math" w:eastAsia="Times New Roman" w:hAnsi="Cambria Math" w:cs="Cambria Math"/>
                <w:color w:val="000000" w:themeColor="text1"/>
                <w:w w:val="105"/>
              </w:rPr>
              <w:t>𝐻</w:t>
            </w:r>
            <w:r w:rsidRPr="00412D5D">
              <w:rPr>
                <w:rFonts w:ascii="Bodoni MT" w:eastAsia="Times New Roman" w:hAnsi="Bodoni MT"/>
                <w:color w:val="000000" w:themeColor="text1"/>
                <w:w w:val="105"/>
                <w:vertAlign w:val="subscript"/>
              </w:rPr>
              <w:t>0</w:t>
            </w:r>
          </w:p>
        </w:tc>
      </w:tr>
    </w:tbl>
    <w:p w14:paraId="271400EB" w14:textId="77777777" w:rsidR="001C66BF" w:rsidRPr="00412D5D" w:rsidRDefault="001C66BF" w:rsidP="001C66BF">
      <w:pPr>
        <w:spacing w:after="0"/>
        <w:ind w:firstLine="426"/>
        <w:jc w:val="both"/>
        <w:rPr>
          <w:rFonts w:ascii="Bodoni MT" w:hAnsi="Bodoni MT"/>
        </w:rPr>
      </w:pPr>
    </w:p>
    <w:p w14:paraId="4573F629" w14:textId="77777777" w:rsidR="001C66BF" w:rsidRPr="00412D5D" w:rsidRDefault="001C66BF" w:rsidP="001C66BF">
      <w:pPr>
        <w:spacing w:after="0"/>
        <w:ind w:firstLine="426"/>
        <w:jc w:val="both"/>
        <w:rPr>
          <w:rFonts w:ascii="Bodoni MT" w:hAnsi="Bodoni MT"/>
        </w:rPr>
      </w:pPr>
      <w:r w:rsidRPr="00412D5D">
        <w:rPr>
          <w:rFonts w:ascii="Bodoni MT" w:hAnsi="Bodoni MT"/>
        </w:rPr>
        <w:t xml:space="preserve">Data Table 6 shows that the significance value of the three learning styles is less than </w:t>
      </w:r>
      <w:r w:rsidRPr="00412D5D">
        <w:rPr>
          <w:rFonts w:ascii="Times New Roman" w:hAnsi="Times New Roman" w:cs="Times New Roman"/>
        </w:rPr>
        <w:t>α</w:t>
      </w:r>
      <w:r w:rsidRPr="00412D5D">
        <w:rPr>
          <w:rFonts w:ascii="Bodoni MT" w:hAnsi="Bodoni MT"/>
        </w:rPr>
        <w:t>. Based on decision-making, H0 is accepted, so there is no significant difference in learning outcomes on trigonometric comparison material in right triangles in terms of visual, audiotorial, and kinesthetic student learning styles.</w:t>
      </w:r>
    </w:p>
    <w:p w14:paraId="0CB764FB" w14:textId="226E51D2" w:rsidR="001C66BF" w:rsidRPr="00412D5D" w:rsidRDefault="001C66BF" w:rsidP="001C66BF">
      <w:pPr>
        <w:pStyle w:val="Alishlah21heading1"/>
        <w:numPr>
          <w:ilvl w:val="0"/>
          <w:numId w:val="0"/>
        </w:numPr>
        <w:ind w:left="426" w:hanging="426"/>
        <w:rPr>
          <w:rFonts w:ascii="Bodoni MT" w:hAnsi="Bodoni MT"/>
          <w:color w:val="000000" w:themeColor="text1"/>
          <w:sz w:val="22"/>
        </w:rPr>
      </w:pPr>
      <w:r w:rsidRPr="00412D5D">
        <w:rPr>
          <w:rFonts w:ascii="Bodoni MT" w:hAnsi="Bodoni MT"/>
          <w:color w:val="000000" w:themeColor="text1"/>
          <w:sz w:val="22"/>
        </w:rPr>
        <w:t>Post Hoc Test Results</w:t>
      </w:r>
    </w:p>
    <w:p w14:paraId="72A99BBD" w14:textId="77777777" w:rsidR="001C66BF" w:rsidRPr="00412D5D" w:rsidRDefault="001C66BF" w:rsidP="001C66BF">
      <w:pPr>
        <w:ind w:firstLine="426"/>
        <w:jc w:val="both"/>
        <w:rPr>
          <w:rFonts w:ascii="Bodoni MT" w:hAnsi="Bodoni MT"/>
        </w:rPr>
      </w:pPr>
      <w:r w:rsidRPr="00412D5D">
        <w:rPr>
          <w:rFonts w:ascii="Bodoni MT" w:hAnsi="Bodoni MT"/>
        </w:rPr>
        <w:t>Based on the results of the pretest and post-test hypothesis tests, the following table presents the results of the post hoc test of the three classes, Prerequisite Tests of Normality and Homogeneity. In the prerequisite test on the post-test using the Kolmogrov-Smirnov test, it can be seen that the results of the prerequisite test of the three learning styles are homogeneous. However, post-test data on visual and audiotorial learning styles are not normally distributed, while kinesthetic learning styles are typically distributed. For this reason, post-test data on learning styles will be tested again for normality using the Kruskal-Wallis test shown in Table 7.</w:t>
      </w:r>
    </w:p>
    <w:p w14:paraId="6FC8A874" w14:textId="77777777" w:rsidR="001C66BF" w:rsidRPr="00412D5D" w:rsidRDefault="001C66BF" w:rsidP="001C66BF">
      <w:pPr>
        <w:spacing w:after="0"/>
        <w:ind w:firstLine="426"/>
        <w:jc w:val="center"/>
        <w:rPr>
          <w:rFonts w:ascii="Bodoni MT" w:hAnsi="Bodoni MT"/>
        </w:rPr>
      </w:pPr>
      <w:r w:rsidRPr="00412D5D">
        <w:rPr>
          <w:rFonts w:ascii="Bodoni MT" w:hAnsi="Bodoni MT"/>
          <w:color w:val="000000" w:themeColor="text1"/>
        </w:rPr>
        <w:t>Table 7. Normality Test of Post-test of the Three Learning Styles</w:t>
      </w:r>
    </w:p>
    <w:tbl>
      <w:tblPr>
        <w:tblW w:w="0" w:type="auto"/>
        <w:tblInd w:w="856" w:type="dxa"/>
        <w:tblBorders>
          <w:top w:val="single" w:sz="4" w:space="0" w:color="000000"/>
          <w:bottom w:val="single" w:sz="4" w:space="0" w:color="000000"/>
          <w:insideH w:val="single" w:sz="4" w:space="0" w:color="000000"/>
          <w:insideV w:val="single" w:sz="4" w:space="0" w:color="auto"/>
        </w:tblBorders>
        <w:tblLayout w:type="fixed"/>
        <w:tblCellMar>
          <w:left w:w="0" w:type="dxa"/>
          <w:right w:w="0" w:type="dxa"/>
        </w:tblCellMar>
        <w:tblLook w:val="01E0" w:firstRow="1" w:lastRow="1" w:firstColumn="1" w:lastColumn="1" w:noHBand="0" w:noVBand="0"/>
      </w:tblPr>
      <w:tblGrid>
        <w:gridCol w:w="2085"/>
        <w:gridCol w:w="995"/>
        <w:gridCol w:w="1556"/>
        <w:gridCol w:w="2446"/>
      </w:tblGrid>
      <w:tr w:rsidR="001C66BF" w:rsidRPr="00412D5D" w14:paraId="2D88ABD5" w14:textId="77777777" w:rsidTr="00034F31">
        <w:trPr>
          <w:trHeight w:val="230"/>
        </w:trPr>
        <w:tc>
          <w:tcPr>
            <w:tcW w:w="2085" w:type="dxa"/>
          </w:tcPr>
          <w:p w14:paraId="7FF361A6" w14:textId="77777777" w:rsidR="001C66BF" w:rsidRPr="00412D5D" w:rsidRDefault="001C66BF" w:rsidP="00034F31">
            <w:pPr>
              <w:pStyle w:val="TableParagraph"/>
              <w:ind w:left="131" w:right="119"/>
              <w:jc w:val="center"/>
              <w:rPr>
                <w:rFonts w:ascii="Bodoni MT" w:hAnsi="Bodoni MT"/>
                <w:b/>
                <w:color w:val="000000" w:themeColor="text1"/>
              </w:rPr>
            </w:pPr>
            <w:proofErr w:type="spellStart"/>
            <w:r w:rsidRPr="00412D5D">
              <w:rPr>
                <w:rFonts w:ascii="Bodoni MT" w:hAnsi="Bodoni MT"/>
                <w:b/>
                <w:color w:val="000000" w:themeColor="text1"/>
              </w:rPr>
              <w:t>Kruskal</w:t>
            </w:r>
            <w:proofErr w:type="spellEnd"/>
            <w:r w:rsidRPr="00412D5D">
              <w:rPr>
                <w:rFonts w:ascii="Bodoni MT" w:hAnsi="Bodoni MT"/>
                <w:b/>
                <w:color w:val="000000" w:themeColor="text1"/>
              </w:rPr>
              <w:t xml:space="preserve"> Wallis- H</w:t>
            </w:r>
          </w:p>
        </w:tc>
        <w:tc>
          <w:tcPr>
            <w:tcW w:w="995" w:type="dxa"/>
          </w:tcPr>
          <w:p w14:paraId="36F612B8" w14:textId="77777777" w:rsidR="001C66BF" w:rsidRPr="00412D5D" w:rsidRDefault="001C66BF" w:rsidP="00034F31">
            <w:pPr>
              <w:pStyle w:val="TableParagraph"/>
              <w:ind w:right="380"/>
              <w:jc w:val="center"/>
              <w:rPr>
                <w:rFonts w:ascii="Bodoni MT" w:hAnsi="Bodoni MT"/>
                <w:b/>
                <w:color w:val="000000" w:themeColor="text1"/>
              </w:rPr>
            </w:pPr>
            <w:proofErr w:type="spellStart"/>
            <w:r w:rsidRPr="00412D5D">
              <w:rPr>
                <w:rFonts w:ascii="Bodoni MT" w:hAnsi="Bodoni MT"/>
                <w:b/>
                <w:color w:val="000000" w:themeColor="text1"/>
              </w:rPr>
              <w:t>Df</w:t>
            </w:r>
            <w:proofErr w:type="spellEnd"/>
          </w:p>
        </w:tc>
        <w:tc>
          <w:tcPr>
            <w:tcW w:w="1556" w:type="dxa"/>
          </w:tcPr>
          <w:p w14:paraId="1938E899" w14:textId="77777777" w:rsidR="001C66BF" w:rsidRPr="00412D5D" w:rsidRDefault="001C66BF" w:rsidP="00034F31">
            <w:pPr>
              <w:pStyle w:val="TableParagraph"/>
              <w:ind w:left="530" w:right="520"/>
              <w:jc w:val="center"/>
              <w:rPr>
                <w:rFonts w:ascii="Bodoni MT" w:hAnsi="Bodoni MT"/>
                <w:b/>
                <w:color w:val="000000" w:themeColor="text1"/>
              </w:rPr>
            </w:pPr>
            <w:r w:rsidRPr="00412D5D">
              <w:rPr>
                <w:rFonts w:ascii="Bodoni MT" w:hAnsi="Bodoni MT"/>
                <w:b/>
                <w:color w:val="000000" w:themeColor="text1"/>
              </w:rPr>
              <w:t>Sig.</w:t>
            </w:r>
          </w:p>
        </w:tc>
        <w:tc>
          <w:tcPr>
            <w:tcW w:w="2446" w:type="dxa"/>
          </w:tcPr>
          <w:p w14:paraId="3740018F" w14:textId="77777777" w:rsidR="001C66BF" w:rsidRPr="00412D5D" w:rsidRDefault="001C66BF" w:rsidP="00034F31">
            <w:pPr>
              <w:pStyle w:val="TableParagraph"/>
              <w:ind w:left="477" w:right="473"/>
              <w:jc w:val="center"/>
              <w:rPr>
                <w:rFonts w:ascii="Bodoni MT" w:hAnsi="Bodoni MT"/>
                <w:b/>
                <w:color w:val="000000" w:themeColor="text1"/>
              </w:rPr>
            </w:pPr>
            <w:r w:rsidRPr="00412D5D">
              <w:rPr>
                <w:rFonts w:ascii="Bodoni MT" w:hAnsi="Bodoni MT"/>
                <w:b/>
                <w:color w:val="000000" w:themeColor="text1"/>
              </w:rPr>
              <w:t>Decision</w:t>
            </w:r>
          </w:p>
        </w:tc>
      </w:tr>
      <w:tr w:rsidR="001C66BF" w:rsidRPr="00412D5D" w14:paraId="2CFFD71C" w14:textId="77777777" w:rsidTr="00034F31">
        <w:trPr>
          <w:trHeight w:val="230"/>
        </w:trPr>
        <w:tc>
          <w:tcPr>
            <w:tcW w:w="2085" w:type="dxa"/>
          </w:tcPr>
          <w:p w14:paraId="6F34DEE5" w14:textId="77777777" w:rsidR="001C66BF" w:rsidRPr="00412D5D" w:rsidRDefault="001C66BF" w:rsidP="00034F31">
            <w:pPr>
              <w:pStyle w:val="TableParagraph"/>
              <w:ind w:left="126" w:right="119"/>
              <w:jc w:val="center"/>
              <w:rPr>
                <w:rFonts w:ascii="Bodoni MT" w:hAnsi="Bodoni MT"/>
                <w:color w:val="000000" w:themeColor="text1"/>
              </w:rPr>
            </w:pPr>
            <w:r w:rsidRPr="00412D5D">
              <w:rPr>
                <w:rFonts w:ascii="Bodoni MT" w:hAnsi="Bodoni MT"/>
                <w:color w:val="000000" w:themeColor="text1"/>
              </w:rPr>
              <w:t>0,502</w:t>
            </w:r>
          </w:p>
        </w:tc>
        <w:tc>
          <w:tcPr>
            <w:tcW w:w="995" w:type="dxa"/>
          </w:tcPr>
          <w:p w14:paraId="5A57F332" w14:textId="77777777" w:rsidR="001C66BF" w:rsidRPr="00412D5D" w:rsidRDefault="001C66BF" w:rsidP="00034F31">
            <w:pPr>
              <w:pStyle w:val="TableParagraph"/>
              <w:ind w:right="439"/>
              <w:jc w:val="center"/>
              <w:rPr>
                <w:rFonts w:ascii="Bodoni MT" w:hAnsi="Bodoni MT"/>
                <w:color w:val="000000" w:themeColor="text1"/>
              </w:rPr>
            </w:pPr>
            <w:r w:rsidRPr="00412D5D">
              <w:rPr>
                <w:rFonts w:ascii="Bodoni MT" w:hAnsi="Bodoni MT"/>
                <w:color w:val="000000" w:themeColor="text1"/>
              </w:rPr>
              <w:t>2</w:t>
            </w:r>
          </w:p>
        </w:tc>
        <w:tc>
          <w:tcPr>
            <w:tcW w:w="1556" w:type="dxa"/>
          </w:tcPr>
          <w:p w14:paraId="7B19B6AD" w14:textId="77777777" w:rsidR="001C66BF" w:rsidRPr="00412D5D" w:rsidRDefault="001C66BF" w:rsidP="00034F31">
            <w:pPr>
              <w:pStyle w:val="TableParagraph"/>
              <w:ind w:left="530" w:right="525"/>
              <w:jc w:val="center"/>
              <w:rPr>
                <w:rFonts w:ascii="Bodoni MT" w:hAnsi="Bodoni MT"/>
                <w:color w:val="000000" w:themeColor="text1"/>
              </w:rPr>
            </w:pPr>
            <w:r w:rsidRPr="00412D5D">
              <w:rPr>
                <w:rFonts w:ascii="Bodoni MT" w:hAnsi="Bodoni MT"/>
                <w:color w:val="000000" w:themeColor="text1"/>
              </w:rPr>
              <w:t>0,778</w:t>
            </w:r>
          </w:p>
        </w:tc>
        <w:tc>
          <w:tcPr>
            <w:tcW w:w="2446" w:type="dxa"/>
          </w:tcPr>
          <w:p w14:paraId="2482122C" w14:textId="77777777" w:rsidR="001C66BF" w:rsidRPr="00412D5D" w:rsidRDefault="001C66BF" w:rsidP="00034F31">
            <w:pPr>
              <w:pStyle w:val="TableParagraph"/>
              <w:ind w:left="481" w:right="473"/>
              <w:jc w:val="center"/>
              <w:rPr>
                <w:rFonts w:ascii="Bodoni MT" w:hAnsi="Bodoni MT"/>
                <w:color w:val="000000" w:themeColor="text1"/>
              </w:rPr>
            </w:pPr>
            <w:r w:rsidRPr="00412D5D">
              <w:rPr>
                <w:rFonts w:ascii="Bodoni MT" w:hAnsi="Bodoni MT"/>
                <w:color w:val="000000" w:themeColor="text1"/>
              </w:rPr>
              <w:t>Not Normal</w:t>
            </w:r>
          </w:p>
        </w:tc>
      </w:tr>
    </w:tbl>
    <w:p w14:paraId="6DEC1EB1" w14:textId="77777777" w:rsidR="001C66BF" w:rsidRPr="00412D5D" w:rsidRDefault="001C66BF" w:rsidP="001C66BF">
      <w:pPr>
        <w:pStyle w:val="BodyText"/>
        <w:jc w:val="both"/>
        <w:rPr>
          <w:rFonts w:ascii="Bodoni MT" w:hAnsi="Bodoni MT"/>
          <w:color w:val="000000" w:themeColor="text1"/>
          <w:sz w:val="22"/>
          <w:szCs w:val="22"/>
        </w:rPr>
      </w:pPr>
      <w:r w:rsidRPr="00412D5D">
        <w:rPr>
          <w:rFonts w:ascii="Bodoni MT" w:hAnsi="Bodoni MT"/>
          <w:color w:val="000000" w:themeColor="text1"/>
          <w:sz w:val="22"/>
          <w:szCs w:val="22"/>
        </w:rPr>
        <w:t>From the table above, the normality test of the three learning styles is not normally distributed.</w:t>
      </w:r>
    </w:p>
    <w:p w14:paraId="16625E1F" w14:textId="77777777" w:rsidR="001C66BF" w:rsidRPr="00412D5D" w:rsidRDefault="001C66BF" w:rsidP="001C66BF">
      <w:pPr>
        <w:pStyle w:val="BodyText"/>
        <w:jc w:val="both"/>
        <w:rPr>
          <w:rFonts w:ascii="Bodoni MT" w:hAnsi="Bodoni MT"/>
          <w:color w:val="000000" w:themeColor="text1"/>
          <w:sz w:val="22"/>
          <w:szCs w:val="22"/>
        </w:rPr>
      </w:pPr>
    </w:p>
    <w:p w14:paraId="56C17B71" w14:textId="77777777" w:rsidR="001C66BF" w:rsidRPr="00412D5D" w:rsidRDefault="001C66BF" w:rsidP="00613302">
      <w:pPr>
        <w:pStyle w:val="Heading2"/>
        <w:keepNext w:val="0"/>
        <w:keepLines w:val="0"/>
        <w:widowControl w:val="0"/>
        <w:tabs>
          <w:tab w:val="left" w:pos="709"/>
        </w:tabs>
        <w:autoSpaceDE w:val="0"/>
        <w:autoSpaceDN w:val="0"/>
        <w:spacing w:before="37" w:after="0" w:line="240" w:lineRule="auto"/>
        <w:rPr>
          <w:rFonts w:ascii="Bodoni MT" w:hAnsi="Bodoni MT"/>
          <w:color w:val="000000" w:themeColor="text1"/>
          <w:sz w:val="22"/>
          <w:szCs w:val="22"/>
        </w:rPr>
      </w:pPr>
      <w:r w:rsidRPr="00412D5D">
        <w:rPr>
          <w:rFonts w:ascii="Bodoni MT" w:hAnsi="Bodoni MT"/>
          <w:color w:val="000000" w:themeColor="text1"/>
          <w:sz w:val="22"/>
          <w:szCs w:val="22"/>
        </w:rPr>
        <w:t>Post Hoc Test</w:t>
      </w:r>
    </w:p>
    <w:p w14:paraId="57A97005" w14:textId="77777777" w:rsidR="001C66BF" w:rsidRPr="00412D5D" w:rsidRDefault="001C66BF" w:rsidP="001C66BF">
      <w:pPr>
        <w:ind w:firstLine="426"/>
        <w:jc w:val="both"/>
        <w:rPr>
          <w:rFonts w:ascii="Bodoni MT" w:hAnsi="Bodoni MT"/>
        </w:rPr>
      </w:pPr>
      <w:r w:rsidRPr="00412D5D">
        <w:rPr>
          <w:rFonts w:ascii="Bodoni MT" w:hAnsi="Bodoni MT"/>
        </w:rPr>
        <w:t>In this study, it was seen that the three-post-tests data from each learning style obtained were not normally distributed. Therefore, the difference test was conducted on these three learning styles to see differences in learning outcomes using the Mann-Whitney test. The Mann-Whitney test will sort out differences between learning style groups. The difference test is shown in Table 8.</w:t>
      </w:r>
    </w:p>
    <w:p w14:paraId="1A3B6515" w14:textId="77777777" w:rsidR="001C66BF" w:rsidRPr="00412D5D" w:rsidRDefault="001C66BF" w:rsidP="001C66BF">
      <w:pPr>
        <w:spacing w:after="0"/>
        <w:jc w:val="center"/>
        <w:rPr>
          <w:rFonts w:ascii="Bodoni MT" w:hAnsi="Bodoni MT"/>
        </w:rPr>
      </w:pPr>
      <w:r w:rsidRPr="00412D5D">
        <w:rPr>
          <w:rFonts w:ascii="Bodoni MT" w:hAnsi="Bodoni MT"/>
        </w:rPr>
        <w:t>Table 8. Post-tests Difference Test of the Three Learning Styles</w:t>
      </w:r>
    </w:p>
    <w:tbl>
      <w:tblPr>
        <w:tblW w:w="8433" w:type="dxa"/>
        <w:jc w:val="center"/>
        <w:tblBorders>
          <w:top w:val="single" w:sz="4" w:space="0" w:color="000000"/>
          <w:bottom w:val="single" w:sz="4" w:space="0" w:color="000000"/>
          <w:insideH w:val="single" w:sz="4" w:space="0" w:color="000000"/>
        </w:tblBorders>
        <w:tblLayout w:type="fixed"/>
        <w:tblCellMar>
          <w:left w:w="0" w:type="dxa"/>
          <w:right w:w="0" w:type="dxa"/>
        </w:tblCellMar>
        <w:tblLook w:val="01E0" w:firstRow="1" w:lastRow="1" w:firstColumn="1" w:lastColumn="1" w:noHBand="0" w:noVBand="0"/>
      </w:tblPr>
      <w:tblGrid>
        <w:gridCol w:w="1241"/>
        <w:gridCol w:w="1816"/>
        <w:gridCol w:w="1216"/>
        <w:gridCol w:w="900"/>
        <w:gridCol w:w="1417"/>
        <w:gridCol w:w="1843"/>
      </w:tblGrid>
      <w:tr w:rsidR="001C66BF" w:rsidRPr="00412D5D" w14:paraId="5F922169" w14:textId="77777777" w:rsidTr="00034F31">
        <w:trPr>
          <w:trHeight w:val="70"/>
          <w:jc w:val="center"/>
        </w:trPr>
        <w:tc>
          <w:tcPr>
            <w:tcW w:w="1241" w:type="dxa"/>
          </w:tcPr>
          <w:p w14:paraId="73A1945E" w14:textId="77777777" w:rsidR="001C66BF" w:rsidRPr="00412D5D" w:rsidRDefault="001C66BF" w:rsidP="00034F31">
            <w:pPr>
              <w:spacing w:after="0"/>
              <w:jc w:val="center"/>
              <w:rPr>
                <w:rFonts w:ascii="Bodoni MT" w:hAnsi="Bodoni MT"/>
              </w:rPr>
            </w:pPr>
            <w:r w:rsidRPr="00412D5D">
              <w:rPr>
                <w:rFonts w:ascii="Bodoni MT" w:hAnsi="Bodoni MT"/>
              </w:rPr>
              <w:t>Group</w:t>
            </w:r>
          </w:p>
        </w:tc>
        <w:tc>
          <w:tcPr>
            <w:tcW w:w="1816" w:type="dxa"/>
          </w:tcPr>
          <w:p w14:paraId="18C5CDC4" w14:textId="77777777" w:rsidR="001C66BF" w:rsidRPr="00412D5D" w:rsidRDefault="001C66BF" w:rsidP="00034F31">
            <w:pPr>
              <w:spacing w:after="0"/>
              <w:jc w:val="center"/>
              <w:rPr>
                <w:rFonts w:ascii="Bodoni MT" w:hAnsi="Bodoni MT"/>
              </w:rPr>
            </w:pPr>
            <w:r w:rsidRPr="00412D5D">
              <w:rPr>
                <w:rFonts w:ascii="Bodoni MT" w:hAnsi="Bodoni MT"/>
              </w:rPr>
              <w:t>Learning Style</w:t>
            </w:r>
          </w:p>
        </w:tc>
        <w:tc>
          <w:tcPr>
            <w:tcW w:w="1216" w:type="dxa"/>
          </w:tcPr>
          <w:p w14:paraId="7773962A" w14:textId="77777777" w:rsidR="001C66BF" w:rsidRPr="00412D5D" w:rsidRDefault="001C66BF" w:rsidP="00034F31">
            <w:pPr>
              <w:spacing w:after="0"/>
              <w:jc w:val="center"/>
              <w:rPr>
                <w:rFonts w:ascii="Bodoni MT" w:hAnsi="Bodoni MT"/>
              </w:rPr>
            </w:pPr>
            <w:r w:rsidRPr="00412D5D">
              <w:rPr>
                <w:rFonts w:ascii="Bodoni MT" w:hAnsi="Bodoni MT"/>
              </w:rPr>
              <w:t>Z</w:t>
            </w:r>
          </w:p>
        </w:tc>
        <w:tc>
          <w:tcPr>
            <w:tcW w:w="900" w:type="dxa"/>
          </w:tcPr>
          <w:p w14:paraId="2854D1C7" w14:textId="77777777" w:rsidR="001C66BF" w:rsidRPr="00412D5D" w:rsidRDefault="001C66BF" w:rsidP="00034F31">
            <w:pPr>
              <w:spacing w:after="0"/>
              <w:jc w:val="center"/>
              <w:rPr>
                <w:rFonts w:ascii="Bodoni MT" w:hAnsi="Bodoni MT"/>
              </w:rPr>
            </w:pPr>
            <w:r w:rsidRPr="00412D5D">
              <w:rPr>
                <w:rFonts w:ascii="Bodoni MT" w:hAnsi="Bodoni MT"/>
              </w:rPr>
              <w:t>Sig</w:t>
            </w:r>
          </w:p>
        </w:tc>
        <w:tc>
          <w:tcPr>
            <w:tcW w:w="1417" w:type="dxa"/>
          </w:tcPr>
          <w:p w14:paraId="5900972F" w14:textId="77777777" w:rsidR="001C66BF" w:rsidRPr="00412D5D" w:rsidRDefault="001C66BF" w:rsidP="00034F31">
            <w:pPr>
              <w:spacing w:after="0"/>
              <w:jc w:val="center"/>
              <w:rPr>
                <w:rFonts w:ascii="Bodoni MT" w:hAnsi="Bodoni MT"/>
              </w:rPr>
            </w:pPr>
            <w:r w:rsidRPr="00412D5D">
              <w:rPr>
                <w:rFonts w:ascii="Bodoni MT" w:hAnsi="Bodoni MT"/>
              </w:rPr>
              <w:t>Decision</w:t>
            </w:r>
          </w:p>
        </w:tc>
        <w:tc>
          <w:tcPr>
            <w:tcW w:w="1843" w:type="dxa"/>
          </w:tcPr>
          <w:p w14:paraId="06B4C264" w14:textId="77777777" w:rsidR="001C66BF" w:rsidRPr="00412D5D" w:rsidRDefault="001C66BF" w:rsidP="00034F31">
            <w:pPr>
              <w:spacing w:after="0"/>
              <w:jc w:val="right"/>
              <w:rPr>
                <w:rFonts w:ascii="Bodoni MT" w:hAnsi="Bodoni MT"/>
              </w:rPr>
            </w:pPr>
            <w:r w:rsidRPr="00412D5D">
              <w:rPr>
                <w:rFonts w:ascii="Bodoni MT" w:hAnsi="Bodoni MT"/>
              </w:rPr>
              <w:t>Final Decision</w:t>
            </w:r>
          </w:p>
        </w:tc>
      </w:tr>
      <w:tr w:rsidR="001C66BF" w:rsidRPr="00412D5D" w14:paraId="757F9903" w14:textId="77777777" w:rsidTr="00034F31">
        <w:trPr>
          <w:trHeight w:val="255"/>
          <w:jc w:val="center"/>
        </w:trPr>
        <w:tc>
          <w:tcPr>
            <w:tcW w:w="1241" w:type="dxa"/>
            <w:vMerge w:val="restart"/>
            <w:vAlign w:val="center"/>
          </w:tcPr>
          <w:p w14:paraId="0418A3FF" w14:textId="77777777" w:rsidR="001C66BF" w:rsidRPr="00412D5D" w:rsidRDefault="001C66BF" w:rsidP="00034F31">
            <w:pPr>
              <w:spacing w:after="0"/>
              <w:jc w:val="center"/>
              <w:rPr>
                <w:rFonts w:ascii="Bodoni MT" w:hAnsi="Bodoni MT"/>
              </w:rPr>
            </w:pPr>
            <w:r w:rsidRPr="00412D5D">
              <w:rPr>
                <w:rFonts w:ascii="Bodoni MT" w:hAnsi="Bodoni MT"/>
              </w:rPr>
              <w:t>1</w:t>
            </w:r>
          </w:p>
        </w:tc>
        <w:tc>
          <w:tcPr>
            <w:tcW w:w="1816" w:type="dxa"/>
            <w:tcBorders>
              <w:bottom w:val="nil"/>
            </w:tcBorders>
          </w:tcPr>
          <w:p w14:paraId="405821DD" w14:textId="77777777" w:rsidR="001C66BF" w:rsidRPr="00412D5D" w:rsidRDefault="001C66BF" w:rsidP="00034F31">
            <w:pPr>
              <w:spacing w:after="0"/>
              <w:jc w:val="center"/>
              <w:rPr>
                <w:rFonts w:ascii="Bodoni MT" w:hAnsi="Bodoni MT"/>
              </w:rPr>
            </w:pPr>
            <w:r w:rsidRPr="00412D5D">
              <w:rPr>
                <w:rFonts w:ascii="Bodoni MT" w:hAnsi="Bodoni MT"/>
              </w:rPr>
              <w:t>Visual</w:t>
            </w:r>
          </w:p>
        </w:tc>
        <w:tc>
          <w:tcPr>
            <w:tcW w:w="1216" w:type="dxa"/>
            <w:vMerge w:val="restart"/>
            <w:vAlign w:val="center"/>
          </w:tcPr>
          <w:p w14:paraId="1017E5EB" w14:textId="77777777" w:rsidR="001C66BF" w:rsidRPr="00412D5D" w:rsidRDefault="001C66BF" w:rsidP="00034F31">
            <w:pPr>
              <w:spacing w:after="0"/>
              <w:jc w:val="center"/>
              <w:rPr>
                <w:rFonts w:ascii="Bodoni MT" w:hAnsi="Bodoni MT"/>
              </w:rPr>
            </w:pPr>
            <w:r w:rsidRPr="00412D5D">
              <w:rPr>
                <w:rFonts w:ascii="Bodoni MT" w:hAnsi="Bodoni MT"/>
              </w:rPr>
              <w:t>-0,224</w:t>
            </w:r>
          </w:p>
        </w:tc>
        <w:tc>
          <w:tcPr>
            <w:tcW w:w="900" w:type="dxa"/>
            <w:vMerge w:val="restart"/>
            <w:vAlign w:val="center"/>
          </w:tcPr>
          <w:p w14:paraId="7FDC188C" w14:textId="77777777" w:rsidR="001C66BF" w:rsidRPr="00412D5D" w:rsidRDefault="001C66BF" w:rsidP="00034F31">
            <w:pPr>
              <w:spacing w:after="0"/>
              <w:jc w:val="center"/>
              <w:rPr>
                <w:rFonts w:ascii="Bodoni MT" w:hAnsi="Bodoni MT"/>
              </w:rPr>
            </w:pPr>
            <w:r w:rsidRPr="00412D5D">
              <w:rPr>
                <w:rFonts w:ascii="Bodoni MT" w:hAnsi="Bodoni MT"/>
              </w:rPr>
              <w:t>0,823</w:t>
            </w:r>
          </w:p>
        </w:tc>
        <w:tc>
          <w:tcPr>
            <w:tcW w:w="1417" w:type="dxa"/>
            <w:vMerge w:val="restart"/>
            <w:vAlign w:val="center"/>
          </w:tcPr>
          <w:p w14:paraId="39A6AB32" w14:textId="77777777" w:rsidR="001C66BF" w:rsidRPr="00412D5D" w:rsidRDefault="001C66BF" w:rsidP="00034F31">
            <w:pPr>
              <w:spacing w:after="0"/>
              <w:jc w:val="center"/>
              <w:rPr>
                <w:rFonts w:ascii="Bodoni MT" w:hAnsi="Bodoni MT"/>
              </w:rPr>
            </w:pPr>
            <w:r w:rsidRPr="00412D5D">
              <w:rPr>
                <w:rFonts w:ascii="Cambria Math" w:hAnsi="Cambria Math" w:cs="Cambria Math"/>
              </w:rPr>
              <w:t>𝐻</w:t>
            </w:r>
            <w:r w:rsidRPr="00412D5D">
              <w:rPr>
                <w:rFonts w:ascii="Bodoni MT" w:hAnsi="Bodoni MT"/>
              </w:rPr>
              <w:t>0</w:t>
            </w:r>
          </w:p>
        </w:tc>
        <w:tc>
          <w:tcPr>
            <w:tcW w:w="1843" w:type="dxa"/>
            <w:vMerge w:val="restart"/>
          </w:tcPr>
          <w:p w14:paraId="4A026C10" w14:textId="77777777" w:rsidR="001C66BF" w:rsidRPr="00412D5D" w:rsidRDefault="001C66BF" w:rsidP="00034F31">
            <w:pPr>
              <w:spacing w:after="0"/>
              <w:jc w:val="center"/>
              <w:rPr>
                <w:rFonts w:ascii="Bodoni MT" w:hAnsi="Bodoni MT"/>
              </w:rPr>
            </w:pPr>
          </w:p>
          <w:p w14:paraId="59F885EA" w14:textId="77777777" w:rsidR="001C66BF" w:rsidRPr="00412D5D" w:rsidRDefault="001C66BF" w:rsidP="00034F31">
            <w:pPr>
              <w:spacing w:after="0"/>
              <w:jc w:val="center"/>
              <w:rPr>
                <w:rFonts w:ascii="Bodoni MT" w:hAnsi="Bodoni MT"/>
              </w:rPr>
            </w:pPr>
          </w:p>
          <w:p w14:paraId="2E3655A0" w14:textId="77777777" w:rsidR="001C66BF" w:rsidRPr="00412D5D" w:rsidRDefault="001C66BF" w:rsidP="00034F31">
            <w:pPr>
              <w:spacing w:after="0"/>
              <w:jc w:val="center"/>
              <w:rPr>
                <w:rFonts w:ascii="Bodoni MT" w:hAnsi="Bodoni MT"/>
              </w:rPr>
            </w:pPr>
            <w:r w:rsidRPr="00412D5D">
              <w:rPr>
                <w:rFonts w:ascii="Cambria Math" w:hAnsi="Cambria Math" w:cs="Cambria Math"/>
              </w:rPr>
              <w:t>𝐻</w:t>
            </w:r>
            <w:r w:rsidRPr="00412D5D">
              <w:rPr>
                <w:rFonts w:ascii="Bodoni MT" w:hAnsi="Bodoni MT"/>
              </w:rPr>
              <w:t>0</w:t>
            </w:r>
          </w:p>
        </w:tc>
      </w:tr>
      <w:tr w:rsidR="001C66BF" w:rsidRPr="00412D5D" w14:paraId="5B518D41" w14:textId="77777777" w:rsidTr="00034F31">
        <w:trPr>
          <w:trHeight w:val="250"/>
          <w:jc w:val="center"/>
        </w:trPr>
        <w:tc>
          <w:tcPr>
            <w:tcW w:w="1241" w:type="dxa"/>
            <w:vMerge/>
            <w:tcBorders>
              <w:bottom w:val="nil"/>
            </w:tcBorders>
            <w:vAlign w:val="center"/>
          </w:tcPr>
          <w:p w14:paraId="3B1E09A4" w14:textId="77777777" w:rsidR="001C66BF" w:rsidRPr="00412D5D" w:rsidRDefault="001C66BF" w:rsidP="00034F31">
            <w:pPr>
              <w:spacing w:after="0"/>
              <w:jc w:val="center"/>
              <w:rPr>
                <w:rFonts w:ascii="Bodoni MT" w:hAnsi="Bodoni MT"/>
              </w:rPr>
            </w:pPr>
          </w:p>
        </w:tc>
        <w:tc>
          <w:tcPr>
            <w:tcW w:w="1816" w:type="dxa"/>
            <w:tcBorders>
              <w:top w:val="nil"/>
              <w:bottom w:val="nil"/>
            </w:tcBorders>
          </w:tcPr>
          <w:p w14:paraId="0A64B4AB" w14:textId="77777777" w:rsidR="001C66BF" w:rsidRPr="00412D5D" w:rsidRDefault="001C66BF" w:rsidP="00034F31">
            <w:pPr>
              <w:spacing w:after="0"/>
              <w:jc w:val="center"/>
              <w:rPr>
                <w:rFonts w:ascii="Bodoni MT" w:hAnsi="Bodoni MT"/>
              </w:rPr>
            </w:pPr>
            <w:r w:rsidRPr="00412D5D">
              <w:rPr>
                <w:rFonts w:ascii="Bodoni MT" w:hAnsi="Bodoni MT"/>
              </w:rPr>
              <w:t>Auditorial</w:t>
            </w:r>
          </w:p>
        </w:tc>
        <w:tc>
          <w:tcPr>
            <w:tcW w:w="1216" w:type="dxa"/>
            <w:vMerge/>
            <w:vAlign w:val="center"/>
          </w:tcPr>
          <w:p w14:paraId="5473C0AA" w14:textId="77777777" w:rsidR="001C66BF" w:rsidRPr="00412D5D" w:rsidRDefault="001C66BF" w:rsidP="00034F31">
            <w:pPr>
              <w:spacing w:after="0"/>
              <w:jc w:val="center"/>
              <w:rPr>
                <w:rFonts w:ascii="Bodoni MT" w:hAnsi="Bodoni MT"/>
              </w:rPr>
            </w:pPr>
          </w:p>
        </w:tc>
        <w:tc>
          <w:tcPr>
            <w:tcW w:w="900" w:type="dxa"/>
            <w:vMerge/>
            <w:vAlign w:val="center"/>
          </w:tcPr>
          <w:p w14:paraId="77B30A9A" w14:textId="77777777" w:rsidR="001C66BF" w:rsidRPr="00412D5D" w:rsidRDefault="001C66BF" w:rsidP="00034F31">
            <w:pPr>
              <w:spacing w:after="0"/>
              <w:jc w:val="center"/>
              <w:rPr>
                <w:rFonts w:ascii="Bodoni MT" w:hAnsi="Bodoni MT"/>
              </w:rPr>
            </w:pPr>
          </w:p>
        </w:tc>
        <w:tc>
          <w:tcPr>
            <w:tcW w:w="1417" w:type="dxa"/>
            <w:vMerge/>
            <w:vAlign w:val="center"/>
          </w:tcPr>
          <w:p w14:paraId="2AAAB5C6" w14:textId="77777777" w:rsidR="001C66BF" w:rsidRPr="00412D5D" w:rsidRDefault="001C66BF" w:rsidP="00034F31">
            <w:pPr>
              <w:spacing w:after="0"/>
              <w:jc w:val="center"/>
              <w:rPr>
                <w:rFonts w:ascii="Bodoni MT" w:hAnsi="Bodoni MT"/>
              </w:rPr>
            </w:pPr>
          </w:p>
        </w:tc>
        <w:tc>
          <w:tcPr>
            <w:tcW w:w="1843" w:type="dxa"/>
            <w:vMerge/>
          </w:tcPr>
          <w:p w14:paraId="720C421F" w14:textId="77777777" w:rsidR="001C66BF" w:rsidRPr="00412D5D" w:rsidRDefault="001C66BF" w:rsidP="00034F31">
            <w:pPr>
              <w:spacing w:after="0"/>
              <w:jc w:val="center"/>
              <w:rPr>
                <w:rFonts w:ascii="Bodoni MT" w:hAnsi="Bodoni MT"/>
              </w:rPr>
            </w:pPr>
          </w:p>
        </w:tc>
      </w:tr>
      <w:tr w:rsidR="001C66BF" w:rsidRPr="00412D5D" w14:paraId="15C3270F" w14:textId="77777777" w:rsidTr="00034F31">
        <w:trPr>
          <w:trHeight w:val="255"/>
          <w:jc w:val="center"/>
        </w:trPr>
        <w:tc>
          <w:tcPr>
            <w:tcW w:w="1241" w:type="dxa"/>
            <w:vMerge w:val="restart"/>
            <w:tcBorders>
              <w:top w:val="nil"/>
            </w:tcBorders>
            <w:vAlign w:val="center"/>
          </w:tcPr>
          <w:p w14:paraId="62A4E954" w14:textId="77777777" w:rsidR="001C66BF" w:rsidRPr="00412D5D" w:rsidRDefault="001C66BF" w:rsidP="00034F31">
            <w:pPr>
              <w:spacing w:after="0"/>
              <w:jc w:val="center"/>
              <w:rPr>
                <w:rFonts w:ascii="Bodoni MT" w:hAnsi="Bodoni MT"/>
              </w:rPr>
            </w:pPr>
            <w:r w:rsidRPr="00412D5D">
              <w:rPr>
                <w:rFonts w:ascii="Bodoni MT" w:hAnsi="Bodoni MT"/>
              </w:rPr>
              <w:t>2</w:t>
            </w:r>
          </w:p>
        </w:tc>
        <w:tc>
          <w:tcPr>
            <w:tcW w:w="1816" w:type="dxa"/>
            <w:tcBorders>
              <w:top w:val="nil"/>
              <w:bottom w:val="nil"/>
            </w:tcBorders>
          </w:tcPr>
          <w:p w14:paraId="6B9818E0" w14:textId="77777777" w:rsidR="001C66BF" w:rsidRPr="00412D5D" w:rsidRDefault="001C66BF" w:rsidP="00034F31">
            <w:pPr>
              <w:spacing w:after="0"/>
              <w:jc w:val="center"/>
              <w:rPr>
                <w:rFonts w:ascii="Bodoni MT" w:hAnsi="Bodoni MT"/>
              </w:rPr>
            </w:pPr>
            <w:r w:rsidRPr="00412D5D">
              <w:rPr>
                <w:rFonts w:ascii="Bodoni MT" w:hAnsi="Bodoni MT"/>
              </w:rPr>
              <w:t>Visual</w:t>
            </w:r>
          </w:p>
        </w:tc>
        <w:tc>
          <w:tcPr>
            <w:tcW w:w="1216" w:type="dxa"/>
            <w:vMerge w:val="restart"/>
            <w:vAlign w:val="center"/>
          </w:tcPr>
          <w:p w14:paraId="44FF2FA7" w14:textId="77777777" w:rsidR="001C66BF" w:rsidRPr="00412D5D" w:rsidRDefault="001C66BF" w:rsidP="00034F31">
            <w:pPr>
              <w:spacing w:after="0"/>
              <w:jc w:val="center"/>
              <w:rPr>
                <w:rFonts w:ascii="Bodoni MT" w:hAnsi="Bodoni MT"/>
              </w:rPr>
            </w:pPr>
            <w:r w:rsidRPr="00412D5D">
              <w:rPr>
                <w:rFonts w:ascii="Bodoni MT" w:hAnsi="Bodoni MT"/>
              </w:rPr>
              <w:t>-0,64</w:t>
            </w:r>
          </w:p>
        </w:tc>
        <w:tc>
          <w:tcPr>
            <w:tcW w:w="900" w:type="dxa"/>
            <w:vMerge w:val="restart"/>
            <w:vAlign w:val="center"/>
          </w:tcPr>
          <w:p w14:paraId="0CD3F143" w14:textId="77777777" w:rsidR="001C66BF" w:rsidRPr="00412D5D" w:rsidRDefault="001C66BF" w:rsidP="00034F31">
            <w:pPr>
              <w:spacing w:after="0"/>
              <w:jc w:val="center"/>
              <w:rPr>
                <w:rFonts w:ascii="Bodoni MT" w:hAnsi="Bodoni MT"/>
              </w:rPr>
            </w:pPr>
            <w:r w:rsidRPr="00412D5D">
              <w:rPr>
                <w:rFonts w:ascii="Bodoni MT" w:hAnsi="Bodoni MT"/>
              </w:rPr>
              <w:t>0,519</w:t>
            </w:r>
          </w:p>
        </w:tc>
        <w:tc>
          <w:tcPr>
            <w:tcW w:w="1417" w:type="dxa"/>
            <w:vMerge w:val="restart"/>
            <w:vAlign w:val="center"/>
          </w:tcPr>
          <w:p w14:paraId="39DB57C7" w14:textId="77777777" w:rsidR="001C66BF" w:rsidRPr="00412D5D" w:rsidRDefault="001C66BF" w:rsidP="00034F31">
            <w:pPr>
              <w:spacing w:after="0"/>
              <w:jc w:val="center"/>
              <w:rPr>
                <w:rFonts w:ascii="Bodoni MT" w:hAnsi="Bodoni MT"/>
              </w:rPr>
            </w:pPr>
            <w:r w:rsidRPr="00412D5D">
              <w:rPr>
                <w:rFonts w:ascii="Cambria Math" w:hAnsi="Cambria Math" w:cs="Cambria Math"/>
              </w:rPr>
              <w:t>𝐻</w:t>
            </w:r>
            <w:r w:rsidRPr="00412D5D">
              <w:rPr>
                <w:rFonts w:ascii="Bodoni MT" w:hAnsi="Bodoni MT"/>
              </w:rPr>
              <w:t>0</w:t>
            </w:r>
          </w:p>
        </w:tc>
        <w:tc>
          <w:tcPr>
            <w:tcW w:w="1843" w:type="dxa"/>
            <w:vMerge/>
          </w:tcPr>
          <w:p w14:paraId="2EC34F3A" w14:textId="77777777" w:rsidR="001C66BF" w:rsidRPr="00412D5D" w:rsidRDefault="001C66BF" w:rsidP="00034F31">
            <w:pPr>
              <w:spacing w:after="0"/>
              <w:jc w:val="center"/>
              <w:rPr>
                <w:rFonts w:ascii="Bodoni MT" w:hAnsi="Bodoni MT"/>
              </w:rPr>
            </w:pPr>
          </w:p>
        </w:tc>
      </w:tr>
      <w:tr w:rsidR="001C66BF" w:rsidRPr="00412D5D" w14:paraId="3E2E732D" w14:textId="77777777" w:rsidTr="00034F31">
        <w:trPr>
          <w:trHeight w:val="250"/>
          <w:jc w:val="center"/>
        </w:trPr>
        <w:tc>
          <w:tcPr>
            <w:tcW w:w="1241" w:type="dxa"/>
            <w:vMerge/>
            <w:tcBorders>
              <w:bottom w:val="nil"/>
            </w:tcBorders>
            <w:vAlign w:val="center"/>
          </w:tcPr>
          <w:p w14:paraId="7ABE2CC2" w14:textId="77777777" w:rsidR="001C66BF" w:rsidRPr="00412D5D" w:rsidRDefault="001C66BF" w:rsidP="00034F31">
            <w:pPr>
              <w:spacing w:after="0"/>
              <w:jc w:val="center"/>
              <w:rPr>
                <w:rFonts w:ascii="Bodoni MT" w:hAnsi="Bodoni MT"/>
              </w:rPr>
            </w:pPr>
          </w:p>
        </w:tc>
        <w:tc>
          <w:tcPr>
            <w:tcW w:w="1816" w:type="dxa"/>
            <w:tcBorders>
              <w:top w:val="nil"/>
              <w:bottom w:val="nil"/>
            </w:tcBorders>
          </w:tcPr>
          <w:p w14:paraId="6CC80529" w14:textId="77777777" w:rsidR="001C66BF" w:rsidRPr="00412D5D" w:rsidRDefault="001C66BF" w:rsidP="00034F31">
            <w:pPr>
              <w:spacing w:after="0"/>
              <w:jc w:val="center"/>
              <w:rPr>
                <w:rFonts w:ascii="Bodoni MT" w:hAnsi="Bodoni MT"/>
              </w:rPr>
            </w:pPr>
            <w:r w:rsidRPr="00412D5D">
              <w:rPr>
                <w:rFonts w:ascii="Bodoni MT" w:hAnsi="Bodoni MT"/>
              </w:rPr>
              <w:t>Kinesthetics</w:t>
            </w:r>
          </w:p>
        </w:tc>
        <w:tc>
          <w:tcPr>
            <w:tcW w:w="1216" w:type="dxa"/>
            <w:vMerge/>
            <w:vAlign w:val="center"/>
          </w:tcPr>
          <w:p w14:paraId="507AEB4E" w14:textId="77777777" w:rsidR="001C66BF" w:rsidRPr="00412D5D" w:rsidRDefault="001C66BF" w:rsidP="00034F31">
            <w:pPr>
              <w:spacing w:after="0"/>
              <w:jc w:val="center"/>
              <w:rPr>
                <w:rFonts w:ascii="Bodoni MT" w:hAnsi="Bodoni MT"/>
              </w:rPr>
            </w:pPr>
          </w:p>
        </w:tc>
        <w:tc>
          <w:tcPr>
            <w:tcW w:w="900" w:type="dxa"/>
            <w:vMerge/>
            <w:vAlign w:val="center"/>
          </w:tcPr>
          <w:p w14:paraId="16A20174" w14:textId="77777777" w:rsidR="001C66BF" w:rsidRPr="00412D5D" w:rsidRDefault="001C66BF" w:rsidP="00034F31">
            <w:pPr>
              <w:spacing w:after="0"/>
              <w:jc w:val="center"/>
              <w:rPr>
                <w:rFonts w:ascii="Bodoni MT" w:hAnsi="Bodoni MT"/>
              </w:rPr>
            </w:pPr>
          </w:p>
        </w:tc>
        <w:tc>
          <w:tcPr>
            <w:tcW w:w="1417" w:type="dxa"/>
            <w:vMerge/>
            <w:vAlign w:val="center"/>
          </w:tcPr>
          <w:p w14:paraId="601E8B1E" w14:textId="77777777" w:rsidR="001C66BF" w:rsidRPr="00412D5D" w:rsidRDefault="001C66BF" w:rsidP="00034F31">
            <w:pPr>
              <w:spacing w:after="0"/>
              <w:jc w:val="center"/>
              <w:rPr>
                <w:rFonts w:ascii="Bodoni MT" w:hAnsi="Bodoni MT"/>
              </w:rPr>
            </w:pPr>
          </w:p>
        </w:tc>
        <w:tc>
          <w:tcPr>
            <w:tcW w:w="1843" w:type="dxa"/>
            <w:vMerge/>
          </w:tcPr>
          <w:p w14:paraId="0ECBDEC9" w14:textId="77777777" w:rsidR="001C66BF" w:rsidRPr="00412D5D" w:rsidRDefault="001C66BF" w:rsidP="00034F31">
            <w:pPr>
              <w:spacing w:after="0"/>
              <w:jc w:val="center"/>
              <w:rPr>
                <w:rFonts w:ascii="Bodoni MT" w:hAnsi="Bodoni MT"/>
              </w:rPr>
            </w:pPr>
          </w:p>
        </w:tc>
      </w:tr>
      <w:tr w:rsidR="001C66BF" w:rsidRPr="00412D5D" w14:paraId="10192B28" w14:textId="77777777" w:rsidTr="00034F31">
        <w:trPr>
          <w:trHeight w:val="255"/>
          <w:jc w:val="center"/>
        </w:trPr>
        <w:tc>
          <w:tcPr>
            <w:tcW w:w="1241" w:type="dxa"/>
            <w:vMerge w:val="restart"/>
            <w:tcBorders>
              <w:top w:val="nil"/>
            </w:tcBorders>
            <w:vAlign w:val="center"/>
          </w:tcPr>
          <w:p w14:paraId="17055AFE" w14:textId="77777777" w:rsidR="001C66BF" w:rsidRPr="00412D5D" w:rsidRDefault="001C66BF" w:rsidP="00034F31">
            <w:pPr>
              <w:spacing w:after="0"/>
              <w:jc w:val="center"/>
              <w:rPr>
                <w:rFonts w:ascii="Bodoni MT" w:hAnsi="Bodoni MT"/>
              </w:rPr>
            </w:pPr>
            <w:r w:rsidRPr="00412D5D">
              <w:rPr>
                <w:rFonts w:ascii="Bodoni MT" w:hAnsi="Bodoni MT"/>
              </w:rPr>
              <w:t>3</w:t>
            </w:r>
          </w:p>
        </w:tc>
        <w:tc>
          <w:tcPr>
            <w:tcW w:w="1816" w:type="dxa"/>
            <w:tcBorders>
              <w:top w:val="nil"/>
              <w:bottom w:val="nil"/>
            </w:tcBorders>
          </w:tcPr>
          <w:p w14:paraId="43808D5A" w14:textId="77777777" w:rsidR="001C66BF" w:rsidRPr="00412D5D" w:rsidRDefault="001C66BF" w:rsidP="00034F31">
            <w:pPr>
              <w:spacing w:after="0"/>
              <w:jc w:val="center"/>
              <w:rPr>
                <w:rFonts w:ascii="Bodoni MT" w:hAnsi="Bodoni MT"/>
              </w:rPr>
            </w:pPr>
            <w:r w:rsidRPr="00412D5D">
              <w:rPr>
                <w:rFonts w:ascii="Bodoni MT" w:hAnsi="Bodoni MT"/>
              </w:rPr>
              <w:t>Auditorial</w:t>
            </w:r>
          </w:p>
        </w:tc>
        <w:tc>
          <w:tcPr>
            <w:tcW w:w="1216" w:type="dxa"/>
            <w:vMerge w:val="restart"/>
            <w:vAlign w:val="center"/>
          </w:tcPr>
          <w:p w14:paraId="35BB8FAF" w14:textId="77777777" w:rsidR="001C66BF" w:rsidRPr="00412D5D" w:rsidRDefault="001C66BF" w:rsidP="00034F31">
            <w:pPr>
              <w:spacing w:after="0"/>
              <w:jc w:val="center"/>
              <w:rPr>
                <w:rFonts w:ascii="Bodoni MT" w:hAnsi="Bodoni MT"/>
              </w:rPr>
            </w:pPr>
            <w:r w:rsidRPr="00412D5D">
              <w:rPr>
                <w:rFonts w:ascii="Bodoni MT" w:hAnsi="Bodoni MT"/>
              </w:rPr>
              <w:t>-0,67</w:t>
            </w:r>
          </w:p>
        </w:tc>
        <w:tc>
          <w:tcPr>
            <w:tcW w:w="900" w:type="dxa"/>
            <w:vMerge w:val="restart"/>
            <w:vAlign w:val="center"/>
          </w:tcPr>
          <w:p w14:paraId="77840C2E" w14:textId="77777777" w:rsidR="001C66BF" w:rsidRPr="00412D5D" w:rsidRDefault="001C66BF" w:rsidP="00034F31">
            <w:pPr>
              <w:spacing w:after="0"/>
              <w:jc w:val="center"/>
              <w:rPr>
                <w:rFonts w:ascii="Bodoni MT" w:hAnsi="Bodoni MT"/>
              </w:rPr>
            </w:pPr>
            <w:r w:rsidRPr="00412D5D">
              <w:rPr>
                <w:rFonts w:ascii="Bodoni MT" w:hAnsi="Bodoni MT"/>
              </w:rPr>
              <w:t>0,544</w:t>
            </w:r>
          </w:p>
        </w:tc>
        <w:tc>
          <w:tcPr>
            <w:tcW w:w="1417" w:type="dxa"/>
            <w:vMerge w:val="restart"/>
            <w:vAlign w:val="center"/>
          </w:tcPr>
          <w:p w14:paraId="1FD43839" w14:textId="77777777" w:rsidR="001C66BF" w:rsidRPr="00412D5D" w:rsidRDefault="001C66BF" w:rsidP="00034F31">
            <w:pPr>
              <w:spacing w:after="0"/>
              <w:jc w:val="center"/>
              <w:rPr>
                <w:rFonts w:ascii="Bodoni MT" w:hAnsi="Bodoni MT"/>
              </w:rPr>
            </w:pPr>
            <w:r w:rsidRPr="00412D5D">
              <w:rPr>
                <w:rFonts w:ascii="Cambria Math" w:hAnsi="Cambria Math" w:cs="Cambria Math"/>
              </w:rPr>
              <w:t>𝐻</w:t>
            </w:r>
            <w:r w:rsidRPr="00412D5D">
              <w:rPr>
                <w:rFonts w:ascii="Bodoni MT" w:hAnsi="Bodoni MT"/>
              </w:rPr>
              <w:t>0</w:t>
            </w:r>
          </w:p>
        </w:tc>
        <w:tc>
          <w:tcPr>
            <w:tcW w:w="1843" w:type="dxa"/>
            <w:vMerge/>
          </w:tcPr>
          <w:p w14:paraId="2B7DB1C2" w14:textId="77777777" w:rsidR="001C66BF" w:rsidRPr="00412D5D" w:rsidRDefault="001C66BF" w:rsidP="00034F31">
            <w:pPr>
              <w:spacing w:after="0"/>
              <w:jc w:val="center"/>
              <w:rPr>
                <w:rFonts w:ascii="Bodoni MT" w:hAnsi="Bodoni MT"/>
              </w:rPr>
            </w:pPr>
          </w:p>
        </w:tc>
      </w:tr>
      <w:tr w:rsidR="001C66BF" w:rsidRPr="00412D5D" w14:paraId="2BA21575" w14:textId="77777777" w:rsidTr="00034F31">
        <w:trPr>
          <w:trHeight w:val="255"/>
          <w:jc w:val="center"/>
        </w:trPr>
        <w:tc>
          <w:tcPr>
            <w:tcW w:w="1241" w:type="dxa"/>
            <w:vMerge/>
          </w:tcPr>
          <w:p w14:paraId="3099628B" w14:textId="77777777" w:rsidR="001C66BF" w:rsidRPr="00412D5D" w:rsidRDefault="001C66BF" w:rsidP="00034F31">
            <w:pPr>
              <w:spacing w:after="0"/>
              <w:jc w:val="center"/>
              <w:rPr>
                <w:rFonts w:ascii="Bodoni MT" w:hAnsi="Bodoni MT"/>
              </w:rPr>
            </w:pPr>
          </w:p>
        </w:tc>
        <w:tc>
          <w:tcPr>
            <w:tcW w:w="1816" w:type="dxa"/>
            <w:tcBorders>
              <w:top w:val="nil"/>
            </w:tcBorders>
          </w:tcPr>
          <w:p w14:paraId="07662D24" w14:textId="77777777" w:rsidR="001C66BF" w:rsidRPr="00412D5D" w:rsidRDefault="001C66BF" w:rsidP="00034F31">
            <w:pPr>
              <w:spacing w:after="0"/>
              <w:jc w:val="center"/>
              <w:rPr>
                <w:rFonts w:ascii="Bodoni MT" w:hAnsi="Bodoni MT"/>
              </w:rPr>
            </w:pPr>
            <w:r w:rsidRPr="00412D5D">
              <w:rPr>
                <w:rFonts w:ascii="Bodoni MT" w:hAnsi="Bodoni MT"/>
              </w:rPr>
              <w:t>Kinesthetics</w:t>
            </w:r>
          </w:p>
        </w:tc>
        <w:tc>
          <w:tcPr>
            <w:tcW w:w="1216" w:type="dxa"/>
            <w:vMerge/>
          </w:tcPr>
          <w:p w14:paraId="75DE6BDB" w14:textId="77777777" w:rsidR="001C66BF" w:rsidRPr="00412D5D" w:rsidRDefault="001C66BF" w:rsidP="00034F31">
            <w:pPr>
              <w:spacing w:after="0"/>
              <w:jc w:val="center"/>
              <w:rPr>
                <w:rFonts w:ascii="Bodoni MT" w:hAnsi="Bodoni MT"/>
              </w:rPr>
            </w:pPr>
          </w:p>
        </w:tc>
        <w:tc>
          <w:tcPr>
            <w:tcW w:w="900" w:type="dxa"/>
            <w:vMerge/>
          </w:tcPr>
          <w:p w14:paraId="70DCB015" w14:textId="77777777" w:rsidR="001C66BF" w:rsidRPr="00412D5D" w:rsidRDefault="001C66BF" w:rsidP="00034F31">
            <w:pPr>
              <w:spacing w:after="0"/>
              <w:jc w:val="center"/>
              <w:rPr>
                <w:rFonts w:ascii="Bodoni MT" w:hAnsi="Bodoni MT"/>
              </w:rPr>
            </w:pPr>
          </w:p>
        </w:tc>
        <w:tc>
          <w:tcPr>
            <w:tcW w:w="1417" w:type="dxa"/>
            <w:vMerge/>
          </w:tcPr>
          <w:p w14:paraId="5D5C1BAD" w14:textId="77777777" w:rsidR="001C66BF" w:rsidRPr="00412D5D" w:rsidRDefault="001C66BF" w:rsidP="00034F31">
            <w:pPr>
              <w:spacing w:after="0"/>
              <w:jc w:val="center"/>
              <w:rPr>
                <w:rFonts w:ascii="Bodoni MT" w:hAnsi="Bodoni MT"/>
              </w:rPr>
            </w:pPr>
          </w:p>
        </w:tc>
        <w:tc>
          <w:tcPr>
            <w:tcW w:w="1843" w:type="dxa"/>
            <w:vMerge/>
          </w:tcPr>
          <w:p w14:paraId="319E940A" w14:textId="77777777" w:rsidR="001C66BF" w:rsidRPr="00412D5D" w:rsidRDefault="001C66BF" w:rsidP="00034F31">
            <w:pPr>
              <w:spacing w:after="0"/>
              <w:jc w:val="center"/>
              <w:rPr>
                <w:rFonts w:ascii="Bodoni MT" w:hAnsi="Bodoni MT"/>
              </w:rPr>
            </w:pPr>
          </w:p>
        </w:tc>
      </w:tr>
    </w:tbl>
    <w:p w14:paraId="041DEA79" w14:textId="77777777" w:rsidR="001C66BF" w:rsidRPr="00412D5D" w:rsidRDefault="001C66BF" w:rsidP="001C66BF">
      <w:pPr>
        <w:spacing w:after="0" w:line="240" w:lineRule="auto"/>
        <w:jc w:val="both"/>
        <w:rPr>
          <w:rFonts w:ascii="Bodoni MT" w:hAnsi="Bodoni MT"/>
        </w:rPr>
      </w:pPr>
    </w:p>
    <w:p w14:paraId="0AB8C395" w14:textId="63B1FE76" w:rsidR="001C66BF" w:rsidRPr="00412D5D" w:rsidRDefault="001C66BF" w:rsidP="001C66BF">
      <w:pPr>
        <w:spacing w:after="0" w:line="240" w:lineRule="auto"/>
        <w:ind w:firstLine="426"/>
        <w:jc w:val="both"/>
        <w:rPr>
          <w:rFonts w:ascii="Bodoni MT" w:hAnsi="Bodoni MT"/>
        </w:rPr>
      </w:pPr>
      <w:r w:rsidRPr="00412D5D">
        <w:rPr>
          <w:rFonts w:ascii="Bodoni MT" w:hAnsi="Bodoni MT"/>
        </w:rPr>
        <w:t xml:space="preserve">In the table above, all the significance values of each group are less than the significance level. The final decision shows that there is no significant difference in learning outcomes of trigonometric </w:t>
      </w:r>
      <w:r w:rsidRPr="00412D5D">
        <w:rPr>
          <w:rFonts w:ascii="Bodoni MT" w:hAnsi="Bodoni MT"/>
        </w:rPr>
        <w:lastRenderedPageBreak/>
        <w:t xml:space="preserve">comparison in right triangles in terms of visual, auditorial, and kinesthetic learning styles. One of the causes of ineffective learning styles is that students need to be given sufficient exposure to learning styles at an early stage </w:t>
      </w:r>
      <w:r w:rsidRPr="00412D5D">
        <w:rPr>
          <w:rFonts w:ascii="Bodoni MT" w:hAnsi="Bodoni MT"/>
        </w:rPr>
        <w:fldChar w:fldCharType="begin" w:fldLock="1"/>
      </w:r>
      <w:r w:rsidRPr="00412D5D">
        <w:rPr>
          <w:rFonts w:ascii="Bodoni MT" w:hAnsi="Bodoni MT"/>
        </w:rPr>
        <w:instrText>ADDIN CSL_CITATION {"citationItems":[{"id":"ITEM-1","itemData":{"DOI":"10.11591/edulearn.v12i3.8978","ISSN":"2089-9823","abstract":"Students use different styles or ways of receiving and managing information during learning. VARK learning style was developed based on the physiological aspect of students in the form of sensory modalities. This survey research was conducted at 30 elementary schools in Ambon City. The data of student learning was obtained by filling out the learning style questionnaire developed by Fleming. The results showed that 88.7% of students used a learning style (unimodal) and 11.3% of students combined more than one learning style (multimodal). For the unimodal learning styles, kinesthetic is most prevalent in male and female students with a percentage of 58.6%, whereas visuals are least found with a percentage of 6%. The study also revealed that multimodal learning styles were found at all bimodal, trimodal, and quadmodal combinations. The more blend of learning style, hence the frequency of determination of student learning style even less.. The combination of multiple unimodal learning styles with large numbers will result in multimodal learning styles with large numbers.","author":[{"dropping-particle":"","family":"Leasa","given":"Marleny","non-dropping-particle":"","parse-names":false,"suffix":""},{"dropping-particle":"","family":"Batlolona","given":"John Rafafy","non-dropping-particle":"","parse-names":false,"suffix":""},{"dropping-particle":"","family":"Enriquez","given":"Javier Julian","non-dropping-particle":"","parse-names":false,"suffix":""},{"dropping-particle":"","family":"Kurnaz","given":"Mehmet Altan","non-dropping-particle":"","parse-names":false,"suffix":""}],"container-title":"Journal of Education and Learning (EduLearn)","id":"ITEM-1","issue":"3","issued":{"date-parts":[["2018"]]},"page":"478-486","title":"Determination Of Elementary Students’ Learning Styles Reviewed From Gender Aspects","type":"article-journal","volume":"12"},"uris":["http://www.mendeley.com/documents/?uuid=acadf7d5-da2d-4b93-8186-0e641eee7b52"]}],"mendeley":{"formattedCitation":"(Leasa et al., 2018)","plainTextFormattedCitation":"(Leasa et al., 2018)","previouslyFormattedCitation":"(Leasa et al., 2018)"},"properties":{"noteIndex":0},"schema":"https://github.com/citation-style-language/schema/raw/master/csl-citation.json"}</w:instrText>
      </w:r>
      <w:r w:rsidRPr="00412D5D">
        <w:rPr>
          <w:rFonts w:ascii="Bodoni MT" w:hAnsi="Bodoni MT"/>
        </w:rPr>
        <w:fldChar w:fldCharType="separate"/>
      </w:r>
      <w:r w:rsidRPr="00412D5D">
        <w:rPr>
          <w:rFonts w:ascii="Bodoni MT" w:hAnsi="Bodoni MT"/>
          <w:noProof/>
        </w:rPr>
        <w:t>(Leasa et al., 2018)</w:t>
      </w:r>
      <w:r w:rsidRPr="00412D5D">
        <w:rPr>
          <w:rFonts w:ascii="Bodoni MT" w:hAnsi="Bodoni MT"/>
        </w:rPr>
        <w:fldChar w:fldCharType="end"/>
      </w:r>
      <w:r w:rsidRPr="00412D5D">
        <w:rPr>
          <w:rFonts w:ascii="Bodoni MT" w:hAnsi="Bodoni MT"/>
        </w:rPr>
        <w:t xml:space="preserve">. This is because students are not given specific guidance on how or what their learning style is </w:t>
      </w:r>
      <w:r w:rsidRPr="00412D5D">
        <w:rPr>
          <w:rFonts w:ascii="Bodoni MT" w:hAnsi="Bodoni MT"/>
        </w:rPr>
        <w:fldChar w:fldCharType="begin" w:fldLock="1"/>
      </w:r>
      <w:r w:rsidRPr="00412D5D">
        <w:rPr>
          <w:rFonts w:ascii="Bodoni MT" w:hAnsi="Bodoni MT"/>
        </w:rPr>
        <w:instrText>ADDIN CSL_CITATION {"citationItems":[{"id":"ITEM-1","itemData":{"DOI":"10.26822/iejee.2017131889","ISSN":"13079298","abstract":"Students have unique ways in managing the information in their learning process. VARK learning styles associated with memory are considered to have an effect on emotional intelligence. This quasi-experimental research was conducted to compare the emotional intelligence among the students having auditory, reading, and kinesthetic learning styles in elementary school in Ambon-Maluku. Emotional intelligence was measured by a questionnaire developed based on the theory of emotional intelligence according to Goleman (1998). The learning style instrument was adapted from Fleming (2001). The results of this research show that learning styles have significant effect on emotional intelligence. Kinesthetic learners have a higher emotional intelligence than those of the auditory and reading learners, as much as 8.35% and 6.11% respectively. This research recommends that schools and teachers need to provide a conducive learning environment, including utilizing constructivist learning strategies which are appropriate with the development of the elementary school students. Further researches are required to investigate the changes of the students’ learning styles along with their development into higher education levels, and its effect on their emotional intelligence.","author":[{"dropping-particle":"","family":"Leasa","given":"Marleny","non-dropping-particle":"","parse-names":false,"suffix":""},{"dropping-particle":"","family":"Corebima","given":"Aloysius D.","non-dropping-particle":"","parse-names":false,"suffix":""},{"dropping-particle":"","family":"Ibrohim","given":"","non-dropping-particle":"","parse-names":false,"suffix":""},{"dropping-particle":"","family":"Suwono","given":"Hadi","non-dropping-particle":"","parse-names":false,"suffix":""}],"container-title":"International Electronic Journal of Elementary Education","id":"ITEM-1","issue":"1","issued":{"date-parts":[["2017"]]},"page":"83-91","title":"Emotional intelligence among auditory, reading, and kinesthetic learning styles of elementary school students in Ambon-Indonesia","type":"article-journal","volume":"10"},"uris":["http://www.mendeley.com/documents/?uuid=19e636c2-b276-444d-9e2b-41bcb3aaf8c7"]}],"mendeley":{"formattedCitation":"(Leasa et al., 2017)","plainTextFormattedCitation":"(Leasa et al., 2017)","previouslyFormattedCitation":"(Leasa et al., 2017)"},"properties":{"noteIndex":0},"schema":"https://github.com/citation-style-language/schema/raw/master/csl-citation.json"}</w:instrText>
      </w:r>
      <w:r w:rsidRPr="00412D5D">
        <w:rPr>
          <w:rFonts w:ascii="Bodoni MT" w:hAnsi="Bodoni MT"/>
        </w:rPr>
        <w:fldChar w:fldCharType="separate"/>
      </w:r>
      <w:r w:rsidRPr="00412D5D">
        <w:rPr>
          <w:rFonts w:ascii="Bodoni MT" w:hAnsi="Bodoni MT"/>
          <w:noProof/>
        </w:rPr>
        <w:t>(Leasa et al., 2017)</w:t>
      </w:r>
      <w:r w:rsidRPr="00412D5D">
        <w:rPr>
          <w:rFonts w:ascii="Bodoni MT" w:hAnsi="Bodoni MT"/>
        </w:rPr>
        <w:fldChar w:fldCharType="end"/>
      </w:r>
      <w:r w:rsidRPr="00412D5D">
        <w:rPr>
          <w:rFonts w:ascii="Bodoni MT" w:hAnsi="Bodoni MT"/>
        </w:rPr>
        <w:t xml:space="preserve">. Ineffective learning styles cause students to be less interested in Mathematics, and this will lead to unsuccessful learning because students need a sufficient basis of knowledge. This is indicated by previous findings, which convey that one of the most enduring concerns among mathematics educators in America is student improvement in mathematics performance. Since the 1960s, international comparative studies have consistently shown that students in the US lag behind students in other developed countries in math performance </w:t>
      </w:r>
      <w:r w:rsidRPr="00412D5D">
        <w:rPr>
          <w:rFonts w:ascii="Bodoni MT" w:hAnsi="Bodoni MT"/>
        </w:rPr>
        <w:fldChar w:fldCharType="begin" w:fldLock="1"/>
      </w:r>
      <w:r w:rsidRPr="00412D5D">
        <w:rPr>
          <w:rFonts w:ascii="Bodoni MT" w:hAnsi="Bodoni MT"/>
        </w:rPr>
        <w:instrText>ADDIN CSL_CITATION {"citationItems":[{"id":"ITEM-1","itemData":{"DOI":"10.1186/2196-7822-1-3","ISSN":"21967822","abstract":"Background: As an effort to account for disparities in mathematics performance between American and East Asian middle school students, the present research aims to compare the relationship between learning styles (competitive and cooperative) and mathematics performance among middle school students between the USA and the three top-performing East Asian countries (Hong Kong, Japan, and Korea) in 2003 Programme for International Student Assessment (PISA). Results: Results from hierarchical linear model (HLM) with students nested within schools demonstrated three key findings: (a) competitive learning had a statistically significant positive though small relationship with mathematics performance in all four countries, (b) cooperative learning had a statistically significant positive though small relationship with mathematics performance in the three East Asian countries but not in the USA, and (c) the relationship between competitive learning and mathematics performance was as strong as the relationship between cooperative learning and mathematics performance across the three East Asian countries. Conclusions: Although American students are stronger competitive and cooperative learners than their East Asian peers, they are not effective users of either learning style for the improvement of mathematics performance likely because of the way that both learning styles are practiced in American mathematics classrooms. Teacher education may hold the key to improve the educational practice of different learning styles as a strategy to improve mathematics performance of students in the USA and beyond.","author":[{"dropping-particle":"","family":"Ma","given":"Vania J.","non-dropping-particle":"","parse-names":false,"suffix":""},{"dropping-particle":"","family":"Ma","given":"Xin","non-dropping-particle":"","parse-names":false,"suffix":""}],"container-title":"International Journal of STEM Education","id":"ITEM-1","issue":"1","issued":{"date-parts":[["2014"]]},"page":"1-13","title":"A comparative analysis of the relationship between learning styles and mathematics performance","type":"article-journal","volume":"1"},"uris":["http://www.mendeley.com/documents/?uuid=f4e54857-79f3-4b98-abce-ea7aed851fb6"]}],"mendeley":{"formattedCitation":"(Ma &amp; Ma, 2014)","plainTextFormattedCitation":"(Ma &amp; Ma, 2014)","previouslyFormattedCitation":"(Ma &amp; Ma, 2014)"},"properties":{"noteIndex":0},"schema":"https://github.com/citation-style-language/schema/raw/master/csl-citation.json"}</w:instrText>
      </w:r>
      <w:r w:rsidRPr="00412D5D">
        <w:rPr>
          <w:rFonts w:ascii="Bodoni MT" w:hAnsi="Bodoni MT"/>
        </w:rPr>
        <w:fldChar w:fldCharType="separate"/>
      </w:r>
      <w:r w:rsidRPr="00412D5D">
        <w:rPr>
          <w:rFonts w:ascii="Bodoni MT" w:hAnsi="Bodoni MT"/>
          <w:noProof/>
        </w:rPr>
        <w:t>(Ma &amp; Ma, 2014)</w:t>
      </w:r>
      <w:r w:rsidRPr="00412D5D">
        <w:rPr>
          <w:rFonts w:ascii="Bodoni MT" w:hAnsi="Bodoni MT"/>
        </w:rPr>
        <w:fldChar w:fldCharType="end"/>
      </w:r>
      <w:r w:rsidRPr="00412D5D">
        <w:rPr>
          <w:rFonts w:ascii="Bodoni MT" w:hAnsi="Bodoni MT"/>
        </w:rPr>
        <w:t xml:space="preserve">. The critical learning holder is the teacher to enhance the practice of different learning styles as a strategy to improve students' mathematics performance. Differences in each student's learning style require teachers to identify and adapt math teaching methods to students. One of the factors affecting students' inability to master the learning content well is the teacher's teaching style, which is not in accordance with the variety of learning styles that students have </w:t>
      </w:r>
      <w:r w:rsidRPr="00412D5D">
        <w:rPr>
          <w:rFonts w:ascii="Bodoni MT" w:hAnsi="Bodoni MT"/>
        </w:rPr>
        <w:fldChar w:fldCharType="begin" w:fldLock="1"/>
      </w:r>
      <w:r w:rsidRPr="00412D5D">
        <w:rPr>
          <w:rFonts w:ascii="Bodoni MT" w:hAnsi="Bodoni MT"/>
        </w:rPr>
        <w:instrText>ADDIN CSL_CITATION {"citationItems":[{"id":"ITEM-1","itemData":{"DOI":"10.3389/fpsyg.2017.00444","ISSN":"16641078","abstract":"The basic idea behind the use of 'Learning Styles' is that learners can be categorized into one or more 'styles' (e.g., Visual, Auditory, Converger) and that teaching students according to their style will result in improved learning. This idea has been repeatedly tested and there is currently no evidence to support it. Despite this, belief in the use of Learning Styles appears to be widespread amongst schoolteachers and persists in the research literature. This mismatch between evidence and practice has provoked controversy, and some have labeled Learning Styles a 'myth.' In this study, we used a survey of academics in UK Higher Education (n = 114) to try and go beyond the controversy by quantifying belief and, crucially, actual use of Learning Styles. We also attempted to understand how academics view the potential harms associated with the use of Learning Styles. We found that general belief in the use of Learning Styles was high (58%), but lower than in similar previous studies, continuing an overall downward trend in recent years. Critically the percentage of respondents who reported actually using Learning Styles (33%) was much lower than those who reported believing in their use. Far more reported using a number of techniques that are demonstrably evidence-based. Academics agreed with all the posited weaknesses and harms of Learning Styles theory, agreeing most strongly that the basic theory of Learning Styles is conceptually flawed. However, a substantial number of participants (32%) stated that they would continue to use Learning Styles despite being presented with the lack of an evidence base to support them, suggesting that 'debunking' Learning Styles may not be effective. We argue that the interests of all may be better served by promoting evidence-based approaches to Higher Education.","author":[{"dropping-particle":"","family":"Newton","given":"Philip M.","non-dropping-particle":"","parse-names":false,"suffix":""},{"dropping-particle":"","family":"Miah","given":"Mahallad","non-dropping-particle":"","parse-names":false,"suffix":""}],"container-title":"Frontiers in Psychology","id":"ITEM-1","issue":"3","issued":{"date-parts":[["2017"]]},"page":"1-9","title":"Evidence-based higher education - Is the learning styles 'myth' important?","type":"article-journal","volume":"8"},"uris":["http://www.mendeley.com/documents/?uuid=ed344a35-b9d7-49d0-99c3-ab6d9142d6d8"]}],"mendeley":{"formattedCitation":"(Newton &amp; Miah, 2017)","plainTextFormattedCitation":"(Newton &amp; Miah, 2017)","previouslyFormattedCitation":"(Newton &amp; Miah, 2017)"},"properties":{"noteIndex":0},"schema":"https://github.com/citation-style-language/schema/raw/master/csl-citation.json"}</w:instrText>
      </w:r>
      <w:r w:rsidRPr="00412D5D">
        <w:rPr>
          <w:rFonts w:ascii="Bodoni MT" w:hAnsi="Bodoni MT"/>
        </w:rPr>
        <w:fldChar w:fldCharType="separate"/>
      </w:r>
      <w:r w:rsidRPr="00412D5D">
        <w:rPr>
          <w:rFonts w:ascii="Bodoni MT" w:hAnsi="Bodoni MT"/>
          <w:noProof/>
        </w:rPr>
        <w:t>(Newton &amp; Miah, 2017)</w:t>
      </w:r>
      <w:r w:rsidRPr="00412D5D">
        <w:rPr>
          <w:rFonts w:ascii="Bodoni MT" w:hAnsi="Bodoni MT"/>
        </w:rPr>
        <w:fldChar w:fldCharType="end"/>
      </w:r>
      <w:r w:rsidRPr="00412D5D">
        <w:rPr>
          <w:rFonts w:ascii="Bodoni MT" w:hAnsi="Bodoni MT"/>
        </w:rPr>
        <w:t xml:space="preserve">. Thus, teachers need to identify students' learning style patterns in order to plan better teaching and learning strategies based on the characteristics of each learning style </w:t>
      </w:r>
      <w:r w:rsidRPr="00412D5D">
        <w:rPr>
          <w:rFonts w:ascii="Bodoni MT" w:hAnsi="Bodoni MT"/>
        </w:rPr>
        <w:fldChar w:fldCharType="begin" w:fldLock="1"/>
      </w:r>
      <w:r w:rsidR="009A2AD0">
        <w:rPr>
          <w:rFonts w:ascii="Bodoni MT" w:hAnsi="Bodoni MT"/>
        </w:rPr>
        <w:instrText>ADDIN CSL_CITATION {"citationItems":[{"id":"ITEM-1","itemData":{"DOI":"10.1038/s41539-023-00190-x","ISSN":"20567936","abstract":"Three experiments examine how providing learning style information (a student learns hands-on or visually) might influence thinking about that student’s academic potential. Samples were American and predominately white and middle-class. In Experiment 1, parents (N = 94) and children (N = 73, 6–12 years) judged students who learn visually as more intelligent than hands-on learners. Experiment 2 replicated this pattern with parents and teachers (N = 172). In Experiment 3 (pre-registered), parents and teachers (N = 200) predicted that visual learners are more skilled than hands-on learners at “core” school subjects (math/language/social sciences, except science), whereas, hands-on learners were skilled at non-core subjects (gym/music/art). Together, these studies show that learning style descriptions, resultant of a myth, impact thinking about children’s intellectual aptitudes.","author":[{"dropping-particle":"","family":"Sun","given":"Xin","non-dropping-particle":"","parse-names":false,"suffix":""},{"dropping-particle":"","family":"Norton","given":"Owen","non-dropping-particle":"","parse-names":false,"suffix":""},{"dropping-particle":"","family":"Nancekivell","given":"Shaylene E.","non-dropping-particle":"","parse-names":false,"suffix":""}],"container-title":"npj Science of Learning","id":"ITEM-1","issue":"1","issued":{"date-parts":[["2023"]]},"page":"1-11","publisher":"Springer US","title":"Beware the myth: learning styles affect parents’, children’s, and teachers’ thinking about children’s academic potential","type":"article-journal","volume":"8"},"uris":["http://www.mendeley.com/documents/?uuid=6ac6fdb5-c1e7-460a-b736-5b476ffef865"]}],"mendeley":{"formattedCitation":"(Sun et al., 2023)","plainTextFormattedCitation":"(Sun et al., 2023)","previouslyFormattedCitation":"(Sun et al., 2023)"},"properties":{"noteIndex":0},"schema":"https://github.com/citation-style-language/schema/raw/master/csl-citation.json"}</w:instrText>
      </w:r>
      <w:r w:rsidRPr="00412D5D">
        <w:rPr>
          <w:rFonts w:ascii="Bodoni MT" w:hAnsi="Bodoni MT"/>
        </w:rPr>
        <w:fldChar w:fldCharType="separate"/>
      </w:r>
      <w:r w:rsidRPr="00412D5D">
        <w:rPr>
          <w:rFonts w:ascii="Bodoni MT" w:hAnsi="Bodoni MT"/>
          <w:noProof/>
        </w:rPr>
        <w:t>(Sun et al., 2023)</w:t>
      </w:r>
      <w:r w:rsidRPr="00412D5D">
        <w:rPr>
          <w:rFonts w:ascii="Bodoni MT" w:hAnsi="Bodoni MT"/>
        </w:rPr>
        <w:fldChar w:fldCharType="end"/>
      </w:r>
      <w:r w:rsidRPr="00412D5D">
        <w:rPr>
          <w:rFonts w:ascii="Bodoni MT" w:hAnsi="Bodoni MT"/>
        </w:rPr>
        <w:t>.</w:t>
      </w:r>
    </w:p>
    <w:p w14:paraId="6D33D144" w14:textId="77777777" w:rsidR="001C66BF" w:rsidRPr="00412D5D" w:rsidRDefault="001C66BF" w:rsidP="001C66BF">
      <w:pPr>
        <w:spacing w:after="0" w:line="240" w:lineRule="auto"/>
        <w:ind w:firstLine="426"/>
        <w:jc w:val="both"/>
        <w:rPr>
          <w:rFonts w:ascii="Bodoni MT" w:hAnsi="Bodoni MT"/>
        </w:rPr>
      </w:pPr>
      <w:r w:rsidRPr="00412D5D">
        <w:rPr>
          <w:rFonts w:ascii="Bodoni MT" w:hAnsi="Bodoni MT"/>
        </w:rPr>
        <w:t xml:space="preserve">Learning styles, as a single concept, are all the rage in schools today and in primary schools in England and Wales in particular. However, this is different from the learning style within educational and cognitive psychology, where learning style theory and practice are presented and debated at the highest academic level. This is the learning style called VAK. We already know that many local government advisors and head teachers are busy promoting primary school VAK. Many primary school teachers are busy administering VAK-style learning questionnaires to children and labeling them as visual, auditory, or kinesthetic learners. Most likely due to its emergence in schools, VAK has also found a place in universities and colleges, where it is introduced to students as part of their initial teacher training and education studies degree courses. To us,, the buzzwords visual (V), auditory (A), and kinesthetic (K) seem relatively commonplace, recognized by teachers, trainees, and others almost everywhere we go, and have some meaning. However, something somewhere needs to be fixed. VAK is common in primary schools, as we mentioned a moment ago, but it is not part of the 'establishment' learning style. Scratching beneath the surface of it all, we find a rather interesting world of accelerated and brain-based learning, a world of pseudoscience, psychobabble, and neuron sense, and one acknowledged, quite naively perhaps, by the Department for Education and Skills (DfES) </w:t>
      </w:r>
      <w:r w:rsidRPr="00412D5D">
        <w:rPr>
          <w:rFonts w:ascii="Bodoni MT" w:hAnsi="Bodoni MT"/>
        </w:rPr>
        <w:fldChar w:fldCharType="begin" w:fldLock="1"/>
      </w:r>
      <w:r w:rsidRPr="00412D5D">
        <w:rPr>
          <w:rFonts w:ascii="Bodoni MT" w:hAnsi="Bodoni MT"/>
        </w:rPr>
        <w:instrText>ADDIN CSL_CITATION {"citationItems":[{"id":"ITEM-1","itemData":{"DOI":"10.1080/02671520701755416","ISSN":"14701146","abstract":"Developments within education, psychology and the neurosciences have shed a great deal of light on how we learn while, at the same time, confirming for us all that learning is a profoundly complex process and far from understood. Against this background, and in this position article, we consider the recent rise in interest in the concept of learning styles as VAK (visual, auditory, kinaesthetic) in primary schools in England and Wales and begin to identify and interrogate some of the more unorthodox claims frequently used to legitimise and lend support to its validity. Through the casual acceptance and promotion of VAK, and its often wider association with the notions of accelerated and brain-based learning, it is our assertion that the complexity of learning is becoming increasingly trivialised and scholarship at all levels within certain sectors of the education community compromised. © 2008, Taylor &amp; Francis Group, LLC. All rights reserved.","author":[{"dropping-particle":"","family":"Sharp","given":"John G.","non-dropping-particle":"","parse-names":false,"suffix":""},{"dropping-particle":"","family":"Bowker","given":"Rob","non-dropping-particle":"","parse-names":false,"suffix":""},{"dropping-particle":"","family":"Byrne","given":"Jenny","non-dropping-particle":"","parse-names":false,"suffix":""}],"container-title":"Research Papers in Education","id":"ITEM-1","issue":"3","issued":{"date-parts":[["2008"]]},"page":"293-314","title":"VAK or VAK-uous? Towards the trivialisation of learning and the death of scholarship","type":"article-journal","volume":"23"},"uris":["http://www.mendeley.com/documents/?uuid=d379ce66-e661-4104-81b8-1f8eca5da8b1"]}],"mendeley":{"formattedCitation":"(Sharp et al., 2008)","plainTextFormattedCitation":"(Sharp et al., 2008)","previouslyFormattedCitation":"(Sharp et al., 2008)"},"properties":{"noteIndex":0},"schema":"https://github.com/citation-style-language/schema/raw/master/csl-citation.json"}</w:instrText>
      </w:r>
      <w:r w:rsidRPr="00412D5D">
        <w:rPr>
          <w:rFonts w:ascii="Bodoni MT" w:hAnsi="Bodoni MT"/>
        </w:rPr>
        <w:fldChar w:fldCharType="separate"/>
      </w:r>
      <w:r w:rsidRPr="00412D5D">
        <w:rPr>
          <w:rFonts w:ascii="Bodoni MT" w:hAnsi="Bodoni MT"/>
          <w:noProof/>
        </w:rPr>
        <w:t>(Sharp et al., 2008)</w:t>
      </w:r>
      <w:r w:rsidRPr="00412D5D">
        <w:rPr>
          <w:rFonts w:ascii="Bodoni MT" w:hAnsi="Bodoni MT"/>
        </w:rPr>
        <w:fldChar w:fldCharType="end"/>
      </w:r>
      <w:r w:rsidRPr="00412D5D">
        <w:rPr>
          <w:rFonts w:ascii="Bodoni MT" w:hAnsi="Bodoni MT"/>
        </w:rPr>
        <w:t>.</w:t>
      </w:r>
    </w:p>
    <w:p w14:paraId="20819092" w14:textId="77777777" w:rsidR="001C66BF" w:rsidRPr="00412D5D" w:rsidRDefault="001C66BF">
      <w:pPr>
        <w:pBdr>
          <w:top w:val="nil"/>
          <w:left w:val="nil"/>
          <w:bottom w:val="nil"/>
          <w:right w:val="nil"/>
          <w:between w:val="nil"/>
        </w:pBdr>
        <w:spacing w:after="0" w:line="276" w:lineRule="auto"/>
        <w:ind w:firstLine="567"/>
        <w:jc w:val="both"/>
        <w:rPr>
          <w:rFonts w:ascii="Bodoni MT" w:eastAsia="Bodoni" w:hAnsi="Bodoni MT" w:cs="Bodoni"/>
          <w:color w:val="000000"/>
          <w:lang w:val="en-US"/>
        </w:rPr>
      </w:pPr>
    </w:p>
    <w:p w14:paraId="2593F513" w14:textId="77777777" w:rsidR="001C66BF" w:rsidRDefault="001C66BF">
      <w:pPr>
        <w:pBdr>
          <w:top w:val="nil"/>
          <w:left w:val="nil"/>
          <w:bottom w:val="nil"/>
          <w:right w:val="nil"/>
          <w:between w:val="nil"/>
        </w:pBdr>
        <w:spacing w:after="0" w:line="276" w:lineRule="auto"/>
        <w:ind w:firstLine="567"/>
        <w:jc w:val="both"/>
        <w:rPr>
          <w:rFonts w:ascii="Bodoni" w:eastAsia="Bodoni" w:hAnsi="Bodoni" w:cs="Bodoni"/>
          <w:color w:val="000000"/>
          <w:lang w:val="en-US"/>
        </w:rPr>
      </w:pPr>
    </w:p>
    <w:p w14:paraId="264DDF0C" w14:textId="30A009F0" w:rsidR="00B35D94" w:rsidRPr="00E000EE" w:rsidRDefault="00412D5D">
      <w:pPr>
        <w:pBdr>
          <w:top w:val="nil"/>
          <w:left w:val="nil"/>
          <w:bottom w:val="nil"/>
          <w:right w:val="nil"/>
          <w:between w:val="nil"/>
        </w:pBdr>
        <w:spacing w:after="40" w:line="276" w:lineRule="auto"/>
        <w:jc w:val="both"/>
        <w:rPr>
          <w:rFonts w:ascii="Bodoni" w:eastAsia="Bodoni" w:hAnsi="Bodoni" w:cs="Bodoni"/>
          <w:color w:val="000000"/>
          <w:lang w:val="en-US"/>
        </w:rPr>
      </w:pPr>
      <w:r w:rsidRPr="00412D5D">
        <w:rPr>
          <w:rFonts w:ascii="Bodoni" w:eastAsia="Bodoni" w:hAnsi="Bodoni" w:cs="Bodoni"/>
          <w:b/>
          <w:color w:val="000000"/>
          <w:lang w:val="en-US"/>
        </w:rPr>
        <w:t>CONCLUSION</w:t>
      </w:r>
      <w:bookmarkStart w:id="1" w:name="_GoBack"/>
      <w:bookmarkEnd w:id="1"/>
    </w:p>
    <w:p w14:paraId="6BB3DAE5" w14:textId="77777777" w:rsidR="00412D5D" w:rsidRPr="00412D5D" w:rsidRDefault="001C66BF" w:rsidP="00412D5D">
      <w:pPr>
        <w:pBdr>
          <w:top w:val="nil"/>
          <w:left w:val="nil"/>
          <w:bottom w:val="nil"/>
          <w:right w:val="nil"/>
          <w:between w:val="nil"/>
        </w:pBdr>
        <w:spacing w:after="0" w:line="276" w:lineRule="auto"/>
        <w:ind w:firstLine="567"/>
        <w:jc w:val="both"/>
        <w:rPr>
          <w:rFonts w:ascii="Bodoni MT" w:eastAsia="Bodoni" w:hAnsi="Bodoni MT" w:cs="Bodoni"/>
          <w:color w:val="FF0000"/>
          <w:lang w:val="en-US"/>
        </w:rPr>
      </w:pPr>
      <w:r w:rsidRPr="00412D5D">
        <w:rPr>
          <w:rFonts w:ascii="Bodoni MT" w:hAnsi="Bodoni MT"/>
        </w:rPr>
        <w:t>Based on the results and discussion of the research, it can be concluded that 1). Questionnaire data obtained 23 or 29.9% of students with visual learning styles, 41 or 53.2% of students with auditorial learning styles, 13 or 16.9% of students with kinesthetic learning styles; 2). The average learning outcome of students with a visual learning style is 70.09, students with an auditorial learning style are 71.72, and students with a kinesthetic learning style are 69.29; 3). There is no significant difference in learning outcomes of trigonometric comparison in right triangles in terms of visual, audiotorial, and kinesthetic learning styles. Therefore, the results of this study are expected: 1) For mathematics teachers to recognize student's learning styles, especially students with low learning outcomes; 2) For schools, it is expected to provide facilities and infrastructure that can support the success of students who have different styles of learning; 3) For researchers, to conduct broader research on learning styles, for example between one school and another.</w:t>
      </w:r>
    </w:p>
    <w:p w14:paraId="14D0B05C" w14:textId="77777777" w:rsidR="00412D5D" w:rsidRDefault="001C66BF" w:rsidP="00412D5D">
      <w:pPr>
        <w:pBdr>
          <w:top w:val="nil"/>
          <w:left w:val="nil"/>
          <w:bottom w:val="nil"/>
          <w:right w:val="nil"/>
          <w:between w:val="nil"/>
        </w:pBdr>
        <w:spacing w:after="0" w:line="276" w:lineRule="auto"/>
        <w:ind w:firstLine="567"/>
        <w:jc w:val="both"/>
        <w:rPr>
          <w:rFonts w:ascii="Bodoni MT" w:eastAsia="Bodoni" w:hAnsi="Bodoni MT" w:cs="Bodoni"/>
          <w:color w:val="FF0000"/>
          <w:lang w:val="en-US"/>
        </w:rPr>
      </w:pPr>
      <w:r w:rsidRPr="00412D5D">
        <w:rPr>
          <w:rFonts w:ascii="Bodoni MT" w:hAnsi="Bodoni MT"/>
        </w:rPr>
        <w:lastRenderedPageBreak/>
        <w:t>Different learning styles of students have been identified based on their tendency to learn Mathematics. There are three main types of learning styles that students adopt in Mathematics, namely visual, auditory, and kinesthetic learning styles. Visual learning is the dominant learning style among students in mathematics, followed by acoustic and kinesthetic learning styles. The level of students' academic procrastination in Mathematics is also low. In addition, the study found that visual and kinesthetic learning styles have a significant influence on students' academic procrastination in Mathematics. Therefore, exposure to different learning styles should be enhanced through excellence in school programs to provide knowledge to students in order to enable them to identify their learning styles and effectively practice learning styles so that the quality of students' learning in Mathematics subject can be improved. Regarding the implications, this study suggests improvements in the excellence program in schools by providing exposure to students on how to identify their appropriate learning styles so that they can practice effective learning styles in Mathematics subject and overcome academic procrastination.</w:t>
      </w:r>
    </w:p>
    <w:p w14:paraId="471DE02D" w14:textId="250A67A8" w:rsidR="001C66BF" w:rsidRPr="00412D5D" w:rsidRDefault="001C66BF" w:rsidP="00412D5D">
      <w:pPr>
        <w:pBdr>
          <w:top w:val="nil"/>
          <w:left w:val="nil"/>
          <w:bottom w:val="nil"/>
          <w:right w:val="nil"/>
          <w:between w:val="nil"/>
        </w:pBdr>
        <w:spacing w:after="200" w:line="276" w:lineRule="auto"/>
        <w:ind w:firstLine="567"/>
        <w:jc w:val="both"/>
        <w:rPr>
          <w:rFonts w:ascii="Bodoni MT" w:eastAsia="Bodoni" w:hAnsi="Bodoni MT" w:cs="Bodoni"/>
          <w:color w:val="FF0000"/>
          <w:lang w:val="en-US"/>
        </w:rPr>
      </w:pPr>
      <w:r w:rsidRPr="00412D5D">
        <w:rPr>
          <w:rFonts w:ascii="Bodoni MT" w:hAnsi="Bodoni MT"/>
        </w:rPr>
        <w:t>This study has certain limitations because it only focuses on giving questions and questionnaires on VAK learning styles for tenth-grade students in learning Mathematics. Therefore, the research findings cannot be generalized to other subjects at school. This study is also limited to one independent variable, which is students' learning style toward their academic procrastination in Mathematics. Thus, other factors that can still affect students' learning outcomes of procrastination in mathematics still need to be examined. Future research can be conducted by identifying different factors that cause academic procrastination in Mathematics in order to increase students' motivation and self-efficacy in this subject.</w:t>
      </w:r>
    </w:p>
    <w:p w14:paraId="1B374E48" w14:textId="77777777" w:rsidR="00412D5D" w:rsidRDefault="00412D5D">
      <w:pPr>
        <w:pBdr>
          <w:top w:val="nil"/>
          <w:left w:val="nil"/>
          <w:bottom w:val="nil"/>
          <w:right w:val="nil"/>
          <w:between w:val="nil"/>
        </w:pBdr>
        <w:spacing w:after="40" w:line="276" w:lineRule="auto"/>
        <w:jc w:val="both"/>
        <w:rPr>
          <w:rFonts w:ascii="Bodoni" w:eastAsia="Bodoni" w:hAnsi="Bodoni" w:cs="Bodoni"/>
          <w:color w:val="000000"/>
          <w:lang w:val="en-US"/>
        </w:rPr>
      </w:pPr>
    </w:p>
    <w:p w14:paraId="782AAE8D" w14:textId="20FD93DF" w:rsidR="00B35D94" w:rsidRPr="009A2AD0" w:rsidRDefault="00412D5D">
      <w:pPr>
        <w:pBdr>
          <w:top w:val="nil"/>
          <w:left w:val="nil"/>
          <w:bottom w:val="nil"/>
          <w:right w:val="nil"/>
          <w:between w:val="nil"/>
        </w:pBdr>
        <w:spacing w:after="40" w:line="276" w:lineRule="auto"/>
        <w:jc w:val="both"/>
        <w:rPr>
          <w:rFonts w:ascii="Bodoni" w:eastAsia="Bodoni" w:hAnsi="Bodoni" w:cs="Bodoni"/>
          <w:b/>
          <w:color w:val="FF0000"/>
          <w:lang w:val="en-US"/>
        </w:rPr>
      </w:pPr>
      <w:r w:rsidRPr="00412D5D">
        <w:rPr>
          <w:rFonts w:ascii="Bodoni" w:eastAsia="Bodoni" w:hAnsi="Bodoni" w:cs="Bodoni"/>
          <w:b/>
          <w:color w:val="000000"/>
          <w:lang w:val="en-US"/>
        </w:rPr>
        <w:t>REFERENCE</w:t>
      </w:r>
      <w:r>
        <w:rPr>
          <w:rFonts w:ascii="Bodoni" w:eastAsia="Bodoni" w:hAnsi="Bodoni" w:cs="Bodoni"/>
          <w:b/>
          <w:color w:val="000000"/>
          <w:lang w:val="en-US"/>
        </w:rPr>
        <w:t>S</w:t>
      </w:r>
      <w:r w:rsidR="00034F31">
        <w:rPr>
          <w:rFonts w:ascii="Bodoni" w:eastAsia="Bodoni" w:hAnsi="Bodoni" w:cs="Bodoni"/>
          <w:b/>
          <w:color w:val="000000"/>
        </w:rPr>
        <w:t xml:space="preserve"> </w:t>
      </w:r>
    </w:p>
    <w:p w14:paraId="503E5ADA" w14:textId="128D103A"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Pr>
          <w:rFonts w:ascii="Bodoni" w:eastAsia="Bodoni" w:hAnsi="Bodoni" w:cs="Bodoni"/>
          <w:b/>
          <w:color w:val="FF0000"/>
        </w:rPr>
        <w:fldChar w:fldCharType="begin" w:fldLock="1"/>
      </w:r>
      <w:r>
        <w:rPr>
          <w:rFonts w:ascii="Bodoni" w:eastAsia="Bodoni" w:hAnsi="Bodoni" w:cs="Bodoni"/>
          <w:b/>
          <w:color w:val="FF0000"/>
        </w:rPr>
        <w:instrText xml:space="preserve">ADDIN Mendeley Bibliography CSL_BIBLIOGRAPHY </w:instrText>
      </w:r>
      <w:r>
        <w:rPr>
          <w:rFonts w:ascii="Bodoni" w:eastAsia="Bodoni" w:hAnsi="Bodoni" w:cs="Bodoni"/>
          <w:b/>
          <w:color w:val="FF0000"/>
        </w:rPr>
        <w:fldChar w:fldCharType="separate"/>
      </w:r>
      <w:r w:rsidRPr="009A2AD0">
        <w:rPr>
          <w:rFonts w:ascii="Bodoni" w:hAnsi="Bodoni" w:cs="Times New Roman"/>
          <w:noProof/>
          <w:szCs w:val="24"/>
        </w:rPr>
        <w:t xml:space="preserve">Adeleke, M. A. (2007). Strategic improvement of mathematical problem-solving performance of secondary school students using procedural and conceptual learning strategies. </w:t>
      </w:r>
      <w:r w:rsidRPr="009A2AD0">
        <w:rPr>
          <w:rFonts w:ascii="Bodoni" w:hAnsi="Bodoni" w:cs="Times New Roman"/>
          <w:i/>
          <w:iCs/>
          <w:noProof/>
          <w:szCs w:val="24"/>
        </w:rPr>
        <w:t>Educational Research and Review</w:t>
      </w:r>
      <w:r w:rsidRPr="009A2AD0">
        <w:rPr>
          <w:rFonts w:ascii="Bodoni" w:hAnsi="Bodoni" w:cs="Times New Roman"/>
          <w:noProof/>
          <w:szCs w:val="24"/>
        </w:rPr>
        <w:t xml:space="preserve">, </w:t>
      </w:r>
      <w:r w:rsidRPr="009A2AD0">
        <w:rPr>
          <w:rFonts w:ascii="Bodoni" w:hAnsi="Bodoni" w:cs="Times New Roman"/>
          <w:i/>
          <w:iCs/>
          <w:noProof/>
          <w:szCs w:val="24"/>
        </w:rPr>
        <w:t>2</w:t>
      </w:r>
      <w:r w:rsidRPr="009A2AD0">
        <w:rPr>
          <w:rFonts w:ascii="Bodoni" w:hAnsi="Bodoni" w:cs="Times New Roman"/>
          <w:noProof/>
          <w:szCs w:val="24"/>
        </w:rPr>
        <w:t>(9), 259–263. http://www.academicjournals.org/ERR</w:t>
      </w:r>
    </w:p>
    <w:p w14:paraId="033037B6"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Algani, Y. M. A. (2022). Role, need and benefits of mathematics in the development of society. </w:t>
      </w:r>
      <w:r w:rsidRPr="009A2AD0">
        <w:rPr>
          <w:rFonts w:ascii="Bodoni" w:hAnsi="Bodoni" w:cs="Times New Roman"/>
          <w:i/>
          <w:iCs/>
          <w:noProof/>
          <w:szCs w:val="24"/>
        </w:rPr>
        <w:t>Journal for the Mathematics Education and Teaching Practices</w:t>
      </w:r>
      <w:r w:rsidRPr="009A2AD0">
        <w:rPr>
          <w:rFonts w:ascii="Bodoni" w:hAnsi="Bodoni" w:cs="Times New Roman"/>
          <w:noProof/>
          <w:szCs w:val="24"/>
        </w:rPr>
        <w:t xml:space="preserve">, </w:t>
      </w:r>
      <w:r w:rsidRPr="009A2AD0">
        <w:rPr>
          <w:rFonts w:ascii="Bodoni" w:hAnsi="Bodoni" w:cs="Times New Roman"/>
          <w:i/>
          <w:iCs/>
          <w:noProof/>
          <w:szCs w:val="24"/>
        </w:rPr>
        <w:t>3</w:t>
      </w:r>
      <w:r w:rsidRPr="009A2AD0">
        <w:rPr>
          <w:rFonts w:ascii="Bodoni" w:hAnsi="Bodoni" w:cs="Times New Roman"/>
          <w:noProof/>
          <w:szCs w:val="24"/>
        </w:rPr>
        <w:t>(1), 23–29. https://dergipark.org.tr/en/pub/jmetp/issue/70512/1129875</w:t>
      </w:r>
    </w:p>
    <w:p w14:paraId="6BD604C6"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Beatty, A., Berkhout, E., Bima, L., Pradhan, M., &amp; Suryadarma, D. (2021). Schooling progress, learning reversal: Indonesia’s learning profiles between 2000 and 2014. </w:t>
      </w:r>
      <w:r w:rsidRPr="009A2AD0">
        <w:rPr>
          <w:rFonts w:ascii="Bodoni" w:hAnsi="Bodoni" w:cs="Times New Roman"/>
          <w:i/>
          <w:iCs/>
          <w:noProof/>
          <w:szCs w:val="24"/>
        </w:rPr>
        <w:t>International Journal of Educational Development</w:t>
      </w:r>
      <w:r w:rsidRPr="009A2AD0">
        <w:rPr>
          <w:rFonts w:ascii="Bodoni" w:hAnsi="Bodoni" w:cs="Times New Roman"/>
          <w:noProof/>
          <w:szCs w:val="24"/>
        </w:rPr>
        <w:t xml:space="preserve">, </w:t>
      </w:r>
      <w:r w:rsidRPr="009A2AD0">
        <w:rPr>
          <w:rFonts w:ascii="Bodoni" w:hAnsi="Bodoni" w:cs="Times New Roman"/>
          <w:i/>
          <w:iCs/>
          <w:noProof/>
          <w:szCs w:val="24"/>
        </w:rPr>
        <w:t>85</w:t>
      </w:r>
      <w:r w:rsidRPr="009A2AD0">
        <w:rPr>
          <w:rFonts w:ascii="Bodoni" w:hAnsi="Bodoni" w:cs="Times New Roman"/>
          <w:noProof/>
          <w:szCs w:val="24"/>
        </w:rPr>
        <w:t>, 1–16. https://doi.org/10.1016/j.ijedudev.2021.102436</w:t>
      </w:r>
    </w:p>
    <w:p w14:paraId="0C8220F6"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Bosman, A., &amp; Schulze, S. (2018). Learning style preferences and mathematics achievement of secondary school learners. </w:t>
      </w:r>
      <w:r w:rsidRPr="009A2AD0">
        <w:rPr>
          <w:rFonts w:ascii="Bodoni" w:hAnsi="Bodoni" w:cs="Times New Roman"/>
          <w:i/>
          <w:iCs/>
          <w:noProof/>
          <w:szCs w:val="24"/>
        </w:rPr>
        <w:t>South African Journal of Education</w:t>
      </w:r>
      <w:r w:rsidRPr="009A2AD0">
        <w:rPr>
          <w:rFonts w:ascii="Bodoni" w:hAnsi="Bodoni" w:cs="Times New Roman"/>
          <w:noProof/>
          <w:szCs w:val="24"/>
        </w:rPr>
        <w:t xml:space="preserve">, </w:t>
      </w:r>
      <w:r w:rsidRPr="009A2AD0">
        <w:rPr>
          <w:rFonts w:ascii="Bodoni" w:hAnsi="Bodoni" w:cs="Times New Roman"/>
          <w:i/>
          <w:iCs/>
          <w:noProof/>
          <w:szCs w:val="24"/>
        </w:rPr>
        <w:t>38</w:t>
      </w:r>
      <w:r w:rsidRPr="009A2AD0">
        <w:rPr>
          <w:rFonts w:ascii="Bodoni" w:hAnsi="Bodoni" w:cs="Times New Roman"/>
          <w:noProof/>
          <w:szCs w:val="24"/>
        </w:rPr>
        <w:t>(1), 1–8. https://doi.org/10.15700/saje.v38n1a1440</w:t>
      </w:r>
    </w:p>
    <w:p w14:paraId="77373F87"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Bringula, R., Reguyal, J. J., Tan, D. D., &amp; Ulfa, S. (2021). Mathematics self-concept and challenges of learners in an online learning environment during COVID-19 pandemic. </w:t>
      </w:r>
      <w:r w:rsidRPr="009A2AD0">
        <w:rPr>
          <w:rFonts w:ascii="Bodoni" w:hAnsi="Bodoni" w:cs="Times New Roman"/>
          <w:i/>
          <w:iCs/>
          <w:noProof/>
          <w:szCs w:val="24"/>
        </w:rPr>
        <w:t>Smart Learning Environments</w:t>
      </w:r>
      <w:r w:rsidRPr="009A2AD0">
        <w:rPr>
          <w:rFonts w:ascii="Bodoni" w:hAnsi="Bodoni" w:cs="Times New Roman"/>
          <w:noProof/>
          <w:szCs w:val="24"/>
        </w:rPr>
        <w:t xml:space="preserve">, </w:t>
      </w:r>
      <w:r w:rsidRPr="009A2AD0">
        <w:rPr>
          <w:rFonts w:ascii="Bodoni" w:hAnsi="Bodoni" w:cs="Times New Roman"/>
          <w:i/>
          <w:iCs/>
          <w:noProof/>
          <w:szCs w:val="24"/>
        </w:rPr>
        <w:t>8</w:t>
      </w:r>
      <w:r w:rsidRPr="009A2AD0">
        <w:rPr>
          <w:rFonts w:ascii="Bodoni" w:hAnsi="Bodoni" w:cs="Times New Roman"/>
          <w:noProof/>
          <w:szCs w:val="24"/>
        </w:rPr>
        <w:t>(1), 1–23. https://doi.org/10.1186/s40561-021-00168-5</w:t>
      </w:r>
    </w:p>
    <w:p w14:paraId="1D8D06CC"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Caligaris, M., Rodríguez, G., &amp; Laugero, L. (2015). Learning Styles and Visualization in Numerical Analysis. </w:t>
      </w:r>
      <w:r w:rsidRPr="009A2AD0">
        <w:rPr>
          <w:rFonts w:ascii="Bodoni" w:hAnsi="Bodoni" w:cs="Times New Roman"/>
          <w:i/>
          <w:iCs/>
          <w:noProof/>
          <w:szCs w:val="24"/>
        </w:rPr>
        <w:t>Procedia - Social and Behavioral Sciences</w:t>
      </w:r>
      <w:r w:rsidRPr="009A2AD0">
        <w:rPr>
          <w:rFonts w:ascii="Bodoni" w:hAnsi="Bodoni" w:cs="Times New Roman"/>
          <w:noProof/>
          <w:szCs w:val="24"/>
        </w:rPr>
        <w:t xml:space="preserve">, </w:t>
      </w:r>
      <w:r w:rsidRPr="009A2AD0">
        <w:rPr>
          <w:rFonts w:ascii="Bodoni" w:hAnsi="Bodoni" w:cs="Times New Roman"/>
          <w:i/>
          <w:iCs/>
          <w:noProof/>
          <w:szCs w:val="24"/>
        </w:rPr>
        <w:t>174</w:t>
      </w:r>
      <w:r w:rsidRPr="009A2AD0">
        <w:rPr>
          <w:rFonts w:ascii="Bodoni" w:hAnsi="Bodoni" w:cs="Times New Roman"/>
          <w:noProof/>
          <w:szCs w:val="24"/>
        </w:rPr>
        <w:t>, 3696–3701. https://doi.org/10.1016/j.sbspro.2015.01.1101</w:t>
      </w:r>
    </w:p>
    <w:p w14:paraId="464A710A"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Chamberlin, S. A. (2010). Mathematical Problems That Optimize Learning for Academically Advanced Students in Grades K-6. </w:t>
      </w:r>
      <w:r w:rsidRPr="009A2AD0">
        <w:rPr>
          <w:rFonts w:ascii="Bodoni" w:hAnsi="Bodoni" w:cs="Times New Roman"/>
          <w:i/>
          <w:iCs/>
          <w:noProof/>
          <w:szCs w:val="24"/>
        </w:rPr>
        <w:t>Journal of Advanced Academics</w:t>
      </w:r>
      <w:r w:rsidRPr="009A2AD0">
        <w:rPr>
          <w:rFonts w:ascii="Bodoni" w:hAnsi="Bodoni" w:cs="Times New Roman"/>
          <w:noProof/>
          <w:szCs w:val="24"/>
        </w:rPr>
        <w:t xml:space="preserve">, </w:t>
      </w:r>
      <w:r w:rsidRPr="009A2AD0">
        <w:rPr>
          <w:rFonts w:ascii="Bodoni" w:hAnsi="Bodoni" w:cs="Times New Roman"/>
          <w:i/>
          <w:iCs/>
          <w:noProof/>
          <w:szCs w:val="24"/>
        </w:rPr>
        <w:t>22</w:t>
      </w:r>
      <w:r w:rsidRPr="009A2AD0">
        <w:rPr>
          <w:rFonts w:ascii="Bodoni" w:hAnsi="Bodoni" w:cs="Times New Roman"/>
          <w:noProof/>
          <w:szCs w:val="24"/>
        </w:rPr>
        <w:t>(1), 52–76. https://doi.org/10.1177/1932202X1002200103</w:t>
      </w:r>
    </w:p>
    <w:p w14:paraId="30DF5790"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Cuevas, J. (2015). Is learning styles-based instruction effective? A comprehensive analysis of recent research </w:t>
      </w:r>
      <w:r w:rsidRPr="009A2AD0">
        <w:rPr>
          <w:rFonts w:ascii="Bodoni" w:hAnsi="Bodoni" w:cs="Times New Roman"/>
          <w:noProof/>
          <w:szCs w:val="24"/>
        </w:rPr>
        <w:lastRenderedPageBreak/>
        <w:t xml:space="preserve">on learning styles. </w:t>
      </w:r>
      <w:r w:rsidRPr="009A2AD0">
        <w:rPr>
          <w:rFonts w:ascii="Bodoni" w:hAnsi="Bodoni" w:cs="Times New Roman"/>
          <w:i/>
          <w:iCs/>
          <w:noProof/>
          <w:szCs w:val="24"/>
        </w:rPr>
        <w:t>Theory and Research in Education</w:t>
      </w:r>
      <w:r w:rsidRPr="009A2AD0">
        <w:rPr>
          <w:rFonts w:ascii="Bodoni" w:hAnsi="Bodoni" w:cs="Times New Roman"/>
          <w:noProof/>
          <w:szCs w:val="24"/>
        </w:rPr>
        <w:t xml:space="preserve">, </w:t>
      </w:r>
      <w:r w:rsidRPr="009A2AD0">
        <w:rPr>
          <w:rFonts w:ascii="Bodoni" w:hAnsi="Bodoni" w:cs="Times New Roman"/>
          <w:i/>
          <w:iCs/>
          <w:noProof/>
          <w:szCs w:val="24"/>
        </w:rPr>
        <w:t>13</w:t>
      </w:r>
      <w:r w:rsidRPr="009A2AD0">
        <w:rPr>
          <w:rFonts w:ascii="Bodoni" w:hAnsi="Bodoni" w:cs="Times New Roman"/>
          <w:noProof/>
          <w:szCs w:val="24"/>
        </w:rPr>
        <w:t>(3), 308–333. https://doi.org/10.1177/1477878515606621</w:t>
      </w:r>
    </w:p>
    <w:p w14:paraId="032EFB5E"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Dunn, R. (1983). Learning Style and its Relation to Exceptionality at Both Ends of the Spectrum. </w:t>
      </w:r>
      <w:r w:rsidRPr="009A2AD0">
        <w:rPr>
          <w:rFonts w:ascii="Bodoni" w:hAnsi="Bodoni" w:cs="Times New Roman"/>
          <w:i/>
          <w:iCs/>
          <w:noProof/>
          <w:szCs w:val="24"/>
        </w:rPr>
        <w:t>Exceptional Children</w:t>
      </w:r>
      <w:r w:rsidRPr="009A2AD0">
        <w:rPr>
          <w:rFonts w:ascii="Bodoni" w:hAnsi="Bodoni" w:cs="Times New Roman"/>
          <w:noProof/>
          <w:szCs w:val="24"/>
        </w:rPr>
        <w:t xml:space="preserve">, </w:t>
      </w:r>
      <w:r w:rsidRPr="009A2AD0">
        <w:rPr>
          <w:rFonts w:ascii="Bodoni" w:hAnsi="Bodoni" w:cs="Times New Roman"/>
          <w:i/>
          <w:iCs/>
          <w:noProof/>
          <w:szCs w:val="24"/>
        </w:rPr>
        <w:t>49</w:t>
      </w:r>
      <w:r w:rsidRPr="009A2AD0">
        <w:rPr>
          <w:rFonts w:ascii="Bodoni" w:hAnsi="Bodoni" w:cs="Times New Roman"/>
          <w:noProof/>
          <w:szCs w:val="24"/>
        </w:rPr>
        <w:t>(6), 496–506. https://doi.org/10.1177/001440298304900602</w:t>
      </w:r>
    </w:p>
    <w:p w14:paraId="3C6E06A3"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Egara, F. O., &amp; Mosimege, M. (2023). Effect of flipped classroom learning approach on mathematics achievement and interest among secondary school students. </w:t>
      </w:r>
      <w:r w:rsidRPr="009A2AD0">
        <w:rPr>
          <w:rFonts w:ascii="Bodoni" w:hAnsi="Bodoni" w:cs="Times New Roman"/>
          <w:i/>
          <w:iCs/>
          <w:noProof/>
          <w:szCs w:val="24"/>
        </w:rPr>
        <w:t>Education and Information Technologies</w:t>
      </w:r>
      <w:r w:rsidRPr="009A2AD0">
        <w:rPr>
          <w:rFonts w:ascii="Bodoni" w:hAnsi="Bodoni" w:cs="Times New Roman"/>
          <w:noProof/>
          <w:szCs w:val="24"/>
        </w:rPr>
        <w:t>, 1–20. https://doi.org/10.1007/s10639-023-12145-1</w:t>
      </w:r>
    </w:p>
    <w:p w14:paraId="64016B9D"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Fernández-Alonso, R., Suárez-Álvarez, J., &amp; Muñiz, J. (2016). Deberes y rendimiento en matemáticas: Papel del profesorado, la familia y las características del alumnado. </w:t>
      </w:r>
      <w:r w:rsidRPr="009A2AD0">
        <w:rPr>
          <w:rFonts w:ascii="Bodoni" w:hAnsi="Bodoni" w:cs="Times New Roman"/>
          <w:i/>
          <w:iCs/>
          <w:noProof/>
          <w:szCs w:val="24"/>
        </w:rPr>
        <w:t>Revista de Psicodidactica</w:t>
      </w:r>
      <w:r w:rsidRPr="009A2AD0">
        <w:rPr>
          <w:rFonts w:ascii="Bodoni" w:hAnsi="Bodoni" w:cs="Times New Roman"/>
          <w:noProof/>
          <w:szCs w:val="24"/>
        </w:rPr>
        <w:t xml:space="preserve">, </w:t>
      </w:r>
      <w:r w:rsidRPr="009A2AD0">
        <w:rPr>
          <w:rFonts w:ascii="Bodoni" w:hAnsi="Bodoni" w:cs="Times New Roman"/>
          <w:i/>
          <w:iCs/>
          <w:noProof/>
          <w:szCs w:val="24"/>
        </w:rPr>
        <w:t>21</w:t>
      </w:r>
      <w:r w:rsidRPr="009A2AD0">
        <w:rPr>
          <w:rFonts w:ascii="Bodoni" w:hAnsi="Bodoni" w:cs="Times New Roman"/>
          <w:noProof/>
          <w:szCs w:val="24"/>
        </w:rPr>
        <w:t>(1), 5–23. https://doi.org/10.1387/RevPsicodidact.13939</w:t>
      </w:r>
    </w:p>
    <w:p w14:paraId="258A530F"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Fleming, N., &amp; Baume, D. (2006). Learning styles again: VARKing up the right tree. </w:t>
      </w:r>
      <w:r w:rsidRPr="009A2AD0">
        <w:rPr>
          <w:rFonts w:ascii="Bodoni" w:hAnsi="Bodoni" w:cs="Times New Roman"/>
          <w:i/>
          <w:iCs/>
          <w:noProof/>
          <w:szCs w:val="24"/>
        </w:rPr>
        <w:t>Educational Developments</w:t>
      </w:r>
      <w:r w:rsidRPr="009A2AD0">
        <w:rPr>
          <w:rFonts w:ascii="Bodoni" w:hAnsi="Bodoni" w:cs="Times New Roman"/>
          <w:noProof/>
          <w:szCs w:val="24"/>
        </w:rPr>
        <w:t xml:space="preserve">, </w:t>
      </w:r>
      <w:r w:rsidRPr="009A2AD0">
        <w:rPr>
          <w:rFonts w:ascii="Bodoni" w:hAnsi="Bodoni" w:cs="Times New Roman"/>
          <w:i/>
          <w:iCs/>
          <w:noProof/>
          <w:szCs w:val="24"/>
        </w:rPr>
        <w:t>7</w:t>
      </w:r>
      <w:r w:rsidRPr="009A2AD0">
        <w:rPr>
          <w:rFonts w:ascii="Bodoni" w:hAnsi="Bodoni" w:cs="Times New Roman"/>
          <w:noProof/>
          <w:szCs w:val="24"/>
        </w:rPr>
        <w:t>(4), 4–7. https://doi.org/10.7748/ns.6.2.51.s64</w:t>
      </w:r>
    </w:p>
    <w:p w14:paraId="46A124F0"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Gamage, K. A. A., Dehideniya, D. M. S. C. P. K., &amp; Ekanayake, S. Y. (2021). The role of personal values in learning approaches and student achievements. </w:t>
      </w:r>
      <w:r w:rsidRPr="009A2AD0">
        <w:rPr>
          <w:rFonts w:ascii="Bodoni" w:hAnsi="Bodoni" w:cs="Times New Roman"/>
          <w:i/>
          <w:iCs/>
          <w:noProof/>
          <w:szCs w:val="24"/>
        </w:rPr>
        <w:t>Behavioral Sciences</w:t>
      </w:r>
      <w:r w:rsidRPr="009A2AD0">
        <w:rPr>
          <w:rFonts w:ascii="Bodoni" w:hAnsi="Bodoni" w:cs="Times New Roman"/>
          <w:noProof/>
          <w:szCs w:val="24"/>
        </w:rPr>
        <w:t xml:space="preserve">, </w:t>
      </w:r>
      <w:r w:rsidRPr="009A2AD0">
        <w:rPr>
          <w:rFonts w:ascii="Bodoni" w:hAnsi="Bodoni" w:cs="Times New Roman"/>
          <w:i/>
          <w:iCs/>
          <w:noProof/>
          <w:szCs w:val="24"/>
        </w:rPr>
        <w:t>11</w:t>
      </w:r>
      <w:r w:rsidRPr="009A2AD0">
        <w:rPr>
          <w:rFonts w:ascii="Bodoni" w:hAnsi="Bodoni" w:cs="Times New Roman"/>
          <w:noProof/>
          <w:szCs w:val="24"/>
        </w:rPr>
        <w:t>(7), 1–23. https://doi.org/10.3390/bs11070102</w:t>
      </w:r>
    </w:p>
    <w:p w14:paraId="2F12F7C3"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Gamboa Mora, M. C., Vera-Monroy, S. P., Mejía-Camacho, A., &amp; Guerrero Rueda, W. J. (2021). Perception channels and cognitive styles: opponents, followers or learning allies? </w:t>
      </w:r>
      <w:r w:rsidRPr="009A2AD0">
        <w:rPr>
          <w:rFonts w:ascii="Bodoni" w:hAnsi="Bodoni" w:cs="Times New Roman"/>
          <w:i/>
          <w:iCs/>
          <w:noProof/>
          <w:szCs w:val="24"/>
        </w:rPr>
        <w:t>Heliyon</w:t>
      </w:r>
      <w:r w:rsidRPr="009A2AD0">
        <w:rPr>
          <w:rFonts w:ascii="Bodoni" w:hAnsi="Bodoni" w:cs="Times New Roman"/>
          <w:noProof/>
          <w:szCs w:val="24"/>
        </w:rPr>
        <w:t xml:space="preserve">, </w:t>
      </w:r>
      <w:r w:rsidRPr="009A2AD0">
        <w:rPr>
          <w:rFonts w:ascii="Bodoni" w:hAnsi="Bodoni" w:cs="Times New Roman"/>
          <w:i/>
          <w:iCs/>
          <w:noProof/>
          <w:szCs w:val="24"/>
        </w:rPr>
        <w:t>7</w:t>
      </w:r>
      <w:r w:rsidRPr="009A2AD0">
        <w:rPr>
          <w:rFonts w:ascii="Bodoni" w:hAnsi="Bodoni" w:cs="Times New Roman"/>
          <w:noProof/>
          <w:szCs w:val="24"/>
        </w:rPr>
        <w:t>(2), 1–8. https://doi.org/10.1016/j.heliyon.2021.e06242</w:t>
      </w:r>
    </w:p>
    <w:p w14:paraId="05B7AEE3"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Ganesen, P., Osman, S., Abu, S., &amp; Kumar, J. A. (2020). The Relationship Between Learning Styles and Achievement of Solving Algebraic Problems Among Lower Secondary School Students. </w:t>
      </w:r>
      <w:r w:rsidRPr="009A2AD0">
        <w:rPr>
          <w:rFonts w:ascii="Bodoni" w:hAnsi="Bodoni" w:cs="Times New Roman"/>
          <w:i/>
          <w:iCs/>
          <w:noProof/>
          <w:szCs w:val="24"/>
        </w:rPr>
        <w:t>International Journal of Advanced Science and Technology</w:t>
      </w:r>
      <w:r w:rsidRPr="009A2AD0">
        <w:rPr>
          <w:rFonts w:ascii="Bodoni" w:hAnsi="Bodoni" w:cs="Times New Roman"/>
          <w:noProof/>
          <w:szCs w:val="24"/>
        </w:rPr>
        <w:t xml:space="preserve">, </w:t>
      </w:r>
      <w:r w:rsidRPr="009A2AD0">
        <w:rPr>
          <w:rFonts w:ascii="Bodoni" w:hAnsi="Bodoni" w:cs="Times New Roman"/>
          <w:i/>
          <w:iCs/>
          <w:noProof/>
          <w:szCs w:val="24"/>
        </w:rPr>
        <w:t>29</w:t>
      </w:r>
      <w:r w:rsidRPr="009A2AD0">
        <w:rPr>
          <w:rFonts w:ascii="Bodoni" w:hAnsi="Bodoni" w:cs="Times New Roman"/>
          <w:noProof/>
          <w:szCs w:val="24"/>
        </w:rPr>
        <w:t>(9S), 2563–2574.</w:t>
      </w:r>
    </w:p>
    <w:p w14:paraId="72BCF308"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Garizábalo-dávila, C., Ospino-mendoza, E., Marin-hamburger, Y., Garizábalo-dávila, C., &amp; Ospino-mendoza, E. (2024). ScienceDirect ScienceDirect An Empirical Analysis of Learning Styles and Generic Competencies in University Students : Case of and Health Services An Empirical Analysis of Learning Styles Generic Administration Students in the City of Case Barranquilla , . </w:t>
      </w:r>
      <w:r w:rsidRPr="009A2AD0">
        <w:rPr>
          <w:rFonts w:ascii="Bodoni" w:hAnsi="Bodoni" w:cs="Times New Roman"/>
          <w:i/>
          <w:iCs/>
          <w:noProof/>
          <w:szCs w:val="24"/>
        </w:rPr>
        <w:t>Procedia Computer Science</w:t>
      </w:r>
      <w:r w:rsidRPr="009A2AD0">
        <w:rPr>
          <w:rFonts w:ascii="Bodoni" w:hAnsi="Bodoni" w:cs="Times New Roman"/>
          <w:noProof/>
          <w:szCs w:val="24"/>
        </w:rPr>
        <w:t xml:space="preserve">, </w:t>
      </w:r>
      <w:r w:rsidRPr="009A2AD0">
        <w:rPr>
          <w:rFonts w:ascii="Bodoni" w:hAnsi="Bodoni" w:cs="Times New Roman"/>
          <w:i/>
          <w:iCs/>
          <w:noProof/>
          <w:szCs w:val="24"/>
        </w:rPr>
        <w:t>231</w:t>
      </w:r>
      <w:r w:rsidRPr="009A2AD0">
        <w:rPr>
          <w:rFonts w:ascii="Bodoni" w:hAnsi="Bodoni" w:cs="Times New Roman"/>
          <w:noProof/>
          <w:szCs w:val="24"/>
        </w:rPr>
        <w:t>, 623–628. https://doi.org/10.1016/j.procs.2023.12.174</w:t>
      </w:r>
    </w:p>
    <w:p w14:paraId="55C47F6D"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Hamdani, D. Al. (2015). Exploring Students’ Learning Style at a Gulf University: A Contributing Factor to Effective Instruction. </w:t>
      </w:r>
      <w:r w:rsidRPr="009A2AD0">
        <w:rPr>
          <w:rFonts w:ascii="Bodoni" w:hAnsi="Bodoni" w:cs="Times New Roman"/>
          <w:i/>
          <w:iCs/>
          <w:noProof/>
          <w:szCs w:val="24"/>
        </w:rPr>
        <w:t>Procedia - Social and Behavioral Sciences</w:t>
      </w:r>
      <w:r w:rsidRPr="009A2AD0">
        <w:rPr>
          <w:rFonts w:ascii="Bodoni" w:hAnsi="Bodoni" w:cs="Times New Roman"/>
          <w:noProof/>
          <w:szCs w:val="24"/>
        </w:rPr>
        <w:t xml:space="preserve">, </w:t>
      </w:r>
      <w:r w:rsidRPr="009A2AD0">
        <w:rPr>
          <w:rFonts w:ascii="Bodoni" w:hAnsi="Bodoni" w:cs="Times New Roman"/>
          <w:i/>
          <w:iCs/>
          <w:noProof/>
          <w:szCs w:val="24"/>
        </w:rPr>
        <w:t>176</w:t>
      </w:r>
      <w:r w:rsidRPr="009A2AD0">
        <w:rPr>
          <w:rFonts w:ascii="Bodoni" w:hAnsi="Bodoni" w:cs="Times New Roman"/>
          <w:noProof/>
          <w:szCs w:val="24"/>
        </w:rPr>
        <w:t>, 124–128. https://doi.org/10.1016/j.sbspro.2015.01.452</w:t>
      </w:r>
    </w:p>
    <w:p w14:paraId="6E596CA9"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Hsiao, H. S., Lin, C. Y., Chen, J. C., &amp; Peng, Y. F. (2018). The influence of a mathematics problem-solving training system on first-year middle school students. </w:t>
      </w:r>
      <w:r w:rsidRPr="009A2AD0">
        <w:rPr>
          <w:rFonts w:ascii="Bodoni" w:hAnsi="Bodoni" w:cs="Times New Roman"/>
          <w:i/>
          <w:iCs/>
          <w:noProof/>
          <w:szCs w:val="24"/>
        </w:rPr>
        <w:t>Eurasia Journal of Mathematics, Science and Technology Education</w:t>
      </w:r>
      <w:r w:rsidRPr="009A2AD0">
        <w:rPr>
          <w:rFonts w:ascii="Bodoni" w:hAnsi="Bodoni" w:cs="Times New Roman"/>
          <w:noProof/>
          <w:szCs w:val="24"/>
        </w:rPr>
        <w:t xml:space="preserve">, </w:t>
      </w:r>
      <w:r w:rsidRPr="009A2AD0">
        <w:rPr>
          <w:rFonts w:ascii="Bodoni" w:hAnsi="Bodoni" w:cs="Times New Roman"/>
          <w:i/>
          <w:iCs/>
          <w:noProof/>
          <w:szCs w:val="24"/>
        </w:rPr>
        <w:t>14</w:t>
      </w:r>
      <w:r w:rsidRPr="009A2AD0">
        <w:rPr>
          <w:rFonts w:ascii="Bodoni" w:hAnsi="Bodoni" w:cs="Times New Roman"/>
          <w:noProof/>
          <w:szCs w:val="24"/>
        </w:rPr>
        <w:t>(1), 77–93. https://doi.org/10.12973/ejmste/77902</w:t>
      </w:r>
    </w:p>
    <w:p w14:paraId="77AA7718"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Hu, J., Peng, Y., Chen, X., &amp; Yu, H. (2021). Differentiating the learning styles of college students in different disciplines in a college English blended learning setting. </w:t>
      </w:r>
      <w:r w:rsidRPr="009A2AD0">
        <w:rPr>
          <w:rFonts w:ascii="Bodoni" w:hAnsi="Bodoni" w:cs="Times New Roman"/>
          <w:i/>
          <w:iCs/>
          <w:noProof/>
          <w:szCs w:val="24"/>
        </w:rPr>
        <w:t>PLoS ONE</w:t>
      </w:r>
      <w:r w:rsidRPr="009A2AD0">
        <w:rPr>
          <w:rFonts w:ascii="Bodoni" w:hAnsi="Bodoni" w:cs="Times New Roman"/>
          <w:noProof/>
          <w:szCs w:val="24"/>
        </w:rPr>
        <w:t xml:space="preserve">, </w:t>
      </w:r>
      <w:r w:rsidRPr="009A2AD0">
        <w:rPr>
          <w:rFonts w:ascii="Bodoni" w:hAnsi="Bodoni" w:cs="Times New Roman"/>
          <w:i/>
          <w:iCs/>
          <w:noProof/>
          <w:szCs w:val="24"/>
        </w:rPr>
        <w:t>16</w:t>
      </w:r>
      <w:r w:rsidRPr="009A2AD0">
        <w:rPr>
          <w:rFonts w:ascii="Bodoni" w:hAnsi="Bodoni" w:cs="Times New Roman"/>
          <w:noProof/>
          <w:szCs w:val="24"/>
        </w:rPr>
        <w:t>(5), 1–26. https://doi.org/10.1371/journal.pone.0251545</w:t>
      </w:r>
    </w:p>
    <w:p w14:paraId="61A7BC8B"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Ingram, J., Andrews, N., &amp; Pitt, A. (2019). When students offer explanations without the teacher explicitly asking them to. </w:t>
      </w:r>
      <w:r w:rsidRPr="009A2AD0">
        <w:rPr>
          <w:rFonts w:ascii="Bodoni" w:hAnsi="Bodoni" w:cs="Times New Roman"/>
          <w:i/>
          <w:iCs/>
          <w:noProof/>
          <w:szCs w:val="24"/>
        </w:rPr>
        <w:t>Educational Studies in Mathematics</w:t>
      </w:r>
      <w:r w:rsidRPr="009A2AD0">
        <w:rPr>
          <w:rFonts w:ascii="Bodoni" w:hAnsi="Bodoni" w:cs="Times New Roman"/>
          <w:noProof/>
          <w:szCs w:val="24"/>
        </w:rPr>
        <w:t xml:space="preserve">, </w:t>
      </w:r>
      <w:r w:rsidRPr="009A2AD0">
        <w:rPr>
          <w:rFonts w:ascii="Bodoni" w:hAnsi="Bodoni" w:cs="Times New Roman"/>
          <w:i/>
          <w:iCs/>
          <w:noProof/>
          <w:szCs w:val="24"/>
        </w:rPr>
        <w:t>101</w:t>
      </w:r>
      <w:r w:rsidRPr="009A2AD0">
        <w:rPr>
          <w:rFonts w:ascii="Bodoni" w:hAnsi="Bodoni" w:cs="Times New Roman"/>
          <w:noProof/>
          <w:szCs w:val="24"/>
        </w:rPr>
        <w:t>(1), 51–66. https://doi.org/10.1007/s10649-018-9873-9</w:t>
      </w:r>
    </w:p>
    <w:p w14:paraId="7AF8FED4"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Jamil, N. I., Baharuddin, F. N., &amp; Maknu, T. S. R. (2015). Factors Mining in Engaging Students Learning Styles Using Exploratory Factor Analysis. </w:t>
      </w:r>
      <w:r w:rsidRPr="009A2AD0">
        <w:rPr>
          <w:rFonts w:ascii="Bodoni" w:hAnsi="Bodoni" w:cs="Times New Roman"/>
          <w:i/>
          <w:iCs/>
          <w:noProof/>
          <w:szCs w:val="24"/>
        </w:rPr>
        <w:t>Procedia Economics and Finance</w:t>
      </w:r>
      <w:r w:rsidRPr="009A2AD0">
        <w:rPr>
          <w:rFonts w:ascii="Bodoni" w:hAnsi="Bodoni" w:cs="Times New Roman"/>
          <w:noProof/>
          <w:szCs w:val="24"/>
        </w:rPr>
        <w:t xml:space="preserve">, </w:t>
      </w:r>
      <w:r w:rsidRPr="009A2AD0">
        <w:rPr>
          <w:rFonts w:ascii="Bodoni" w:hAnsi="Bodoni" w:cs="Times New Roman"/>
          <w:i/>
          <w:iCs/>
          <w:noProof/>
          <w:szCs w:val="24"/>
        </w:rPr>
        <w:t>31</w:t>
      </w:r>
      <w:r w:rsidRPr="009A2AD0">
        <w:rPr>
          <w:rFonts w:ascii="Bodoni" w:hAnsi="Bodoni" w:cs="Times New Roman"/>
          <w:noProof/>
          <w:szCs w:val="24"/>
        </w:rPr>
        <w:t>(15), 722–729. https://doi.org/10.1016/s2212-5671(15)01161-2</w:t>
      </w:r>
    </w:p>
    <w:p w14:paraId="3D54FF28"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K Dayanand, A. (2020). Hypothesis Types and Research. </w:t>
      </w:r>
      <w:r w:rsidRPr="009A2AD0">
        <w:rPr>
          <w:rFonts w:ascii="Bodoni" w:hAnsi="Bodoni" w:cs="Times New Roman"/>
          <w:i/>
          <w:iCs/>
          <w:noProof/>
          <w:szCs w:val="24"/>
        </w:rPr>
        <w:t>International Journal of Nursing Science Practice and Research</w:t>
      </w:r>
      <w:r w:rsidRPr="009A2AD0">
        <w:rPr>
          <w:rFonts w:ascii="Bodoni" w:hAnsi="Bodoni" w:cs="Times New Roman"/>
          <w:noProof/>
          <w:szCs w:val="24"/>
        </w:rPr>
        <w:t xml:space="preserve">, </w:t>
      </w:r>
      <w:r w:rsidRPr="009A2AD0">
        <w:rPr>
          <w:rFonts w:ascii="Bodoni" w:hAnsi="Bodoni" w:cs="Times New Roman"/>
          <w:i/>
          <w:iCs/>
          <w:noProof/>
          <w:szCs w:val="24"/>
        </w:rPr>
        <w:t>4</w:t>
      </w:r>
      <w:r w:rsidRPr="009A2AD0">
        <w:rPr>
          <w:rFonts w:ascii="Bodoni" w:hAnsi="Bodoni" w:cs="Times New Roman"/>
          <w:noProof/>
          <w:szCs w:val="24"/>
        </w:rPr>
        <w:t>(2), 78–80.</w:t>
      </w:r>
    </w:p>
    <w:p w14:paraId="00CD69D7"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Laurens, T., Batlolona, F. A., Batlolona, J. R., &amp; Leasa, M. (2018). How does realistic mathematics education (RME) improve students’ mathematics cognitive achievement? </w:t>
      </w:r>
      <w:r w:rsidRPr="009A2AD0">
        <w:rPr>
          <w:rFonts w:ascii="Bodoni" w:hAnsi="Bodoni" w:cs="Times New Roman"/>
          <w:i/>
          <w:iCs/>
          <w:noProof/>
          <w:szCs w:val="24"/>
        </w:rPr>
        <w:t>Eurasia Journal of Mathematics, Science and Technology Education</w:t>
      </w:r>
      <w:r w:rsidRPr="009A2AD0">
        <w:rPr>
          <w:rFonts w:ascii="Bodoni" w:hAnsi="Bodoni" w:cs="Times New Roman"/>
          <w:noProof/>
          <w:szCs w:val="24"/>
        </w:rPr>
        <w:t xml:space="preserve">, </w:t>
      </w:r>
      <w:r w:rsidRPr="009A2AD0">
        <w:rPr>
          <w:rFonts w:ascii="Bodoni" w:hAnsi="Bodoni" w:cs="Times New Roman"/>
          <w:i/>
          <w:iCs/>
          <w:noProof/>
          <w:szCs w:val="24"/>
        </w:rPr>
        <w:t>14</w:t>
      </w:r>
      <w:r w:rsidRPr="009A2AD0">
        <w:rPr>
          <w:rFonts w:ascii="Bodoni" w:hAnsi="Bodoni" w:cs="Times New Roman"/>
          <w:noProof/>
          <w:szCs w:val="24"/>
        </w:rPr>
        <w:t>(2), 569–578. https://doi.org/10.12973/ejmste/76959</w:t>
      </w:r>
    </w:p>
    <w:p w14:paraId="63621B72"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Leasa, M., Batlolona, J. R., Enriquez, J. J., &amp; Kurnaz, M. A. (2018). Determination Of Elementary Students’ </w:t>
      </w:r>
      <w:r w:rsidRPr="009A2AD0">
        <w:rPr>
          <w:rFonts w:ascii="Bodoni" w:hAnsi="Bodoni" w:cs="Times New Roman"/>
          <w:noProof/>
          <w:szCs w:val="24"/>
        </w:rPr>
        <w:lastRenderedPageBreak/>
        <w:t xml:space="preserve">Learning Styles Reviewed From Gender Aspects. </w:t>
      </w:r>
      <w:r w:rsidRPr="009A2AD0">
        <w:rPr>
          <w:rFonts w:ascii="Bodoni" w:hAnsi="Bodoni" w:cs="Times New Roman"/>
          <w:i/>
          <w:iCs/>
          <w:noProof/>
          <w:szCs w:val="24"/>
        </w:rPr>
        <w:t>Journal of Education and Learning (EduLearn)</w:t>
      </w:r>
      <w:r w:rsidRPr="009A2AD0">
        <w:rPr>
          <w:rFonts w:ascii="Bodoni" w:hAnsi="Bodoni" w:cs="Times New Roman"/>
          <w:noProof/>
          <w:szCs w:val="24"/>
        </w:rPr>
        <w:t xml:space="preserve">, </w:t>
      </w:r>
      <w:r w:rsidRPr="009A2AD0">
        <w:rPr>
          <w:rFonts w:ascii="Bodoni" w:hAnsi="Bodoni" w:cs="Times New Roman"/>
          <w:i/>
          <w:iCs/>
          <w:noProof/>
          <w:szCs w:val="24"/>
        </w:rPr>
        <w:t>12</w:t>
      </w:r>
      <w:r w:rsidRPr="009A2AD0">
        <w:rPr>
          <w:rFonts w:ascii="Bodoni" w:hAnsi="Bodoni" w:cs="Times New Roman"/>
          <w:noProof/>
          <w:szCs w:val="24"/>
        </w:rPr>
        <w:t>(3), 478–486. https://doi.org/10.11591/edulearn.v12i3.8978</w:t>
      </w:r>
    </w:p>
    <w:p w14:paraId="45C3C30D"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Leasa, M., Corebima, A. D., Ibrohim, &amp; Suwono, H. (2017). Emotional intelligence among auditory, reading, and kinesthetic learning styles of elementary school students in Ambon-Indonesia. </w:t>
      </w:r>
      <w:r w:rsidRPr="009A2AD0">
        <w:rPr>
          <w:rFonts w:ascii="Bodoni" w:hAnsi="Bodoni" w:cs="Times New Roman"/>
          <w:i/>
          <w:iCs/>
          <w:noProof/>
          <w:szCs w:val="24"/>
        </w:rPr>
        <w:t>International Electronic Journal of Elementary Education</w:t>
      </w:r>
      <w:r w:rsidRPr="009A2AD0">
        <w:rPr>
          <w:rFonts w:ascii="Bodoni" w:hAnsi="Bodoni" w:cs="Times New Roman"/>
          <w:noProof/>
          <w:szCs w:val="24"/>
        </w:rPr>
        <w:t xml:space="preserve">, </w:t>
      </w:r>
      <w:r w:rsidRPr="009A2AD0">
        <w:rPr>
          <w:rFonts w:ascii="Bodoni" w:hAnsi="Bodoni" w:cs="Times New Roman"/>
          <w:i/>
          <w:iCs/>
          <w:noProof/>
          <w:szCs w:val="24"/>
        </w:rPr>
        <w:t>10</w:t>
      </w:r>
      <w:r w:rsidRPr="009A2AD0">
        <w:rPr>
          <w:rFonts w:ascii="Bodoni" w:hAnsi="Bodoni" w:cs="Times New Roman"/>
          <w:noProof/>
          <w:szCs w:val="24"/>
        </w:rPr>
        <w:t>(1), 83–91. https://doi.org/10.26822/iejee.2017131889</w:t>
      </w:r>
    </w:p>
    <w:p w14:paraId="021E987A"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Lin, W., Yin, H., Han, J., &amp; Han, J. (2020). Teacher–student interaction and chinese students’ mathematics learning outcomes: The mediation of mathematics achievement emotions. </w:t>
      </w:r>
      <w:r w:rsidRPr="009A2AD0">
        <w:rPr>
          <w:rFonts w:ascii="Bodoni" w:hAnsi="Bodoni" w:cs="Times New Roman"/>
          <w:i/>
          <w:iCs/>
          <w:noProof/>
          <w:szCs w:val="24"/>
        </w:rPr>
        <w:t>International Journal of Environmental Research and Public Health</w:t>
      </w:r>
      <w:r w:rsidRPr="009A2AD0">
        <w:rPr>
          <w:rFonts w:ascii="Bodoni" w:hAnsi="Bodoni" w:cs="Times New Roman"/>
          <w:noProof/>
          <w:szCs w:val="24"/>
        </w:rPr>
        <w:t xml:space="preserve">, </w:t>
      </w:r>
      <w:r w:rsidRPr="009A2AD0">
        <w:rPr>
          <w:rFonts w:ascii="Bodoni" w:hAnsi="Bodoni" w:cs="Times New Roman"/>
          <w:i/>
          <w:iCs/>
          <w:noProof/>
          <w:szCs w:val="24"/>
        </w:rPr>
        <w:t>17</w:t>
      </w:r>
      <w:r w:rsidRPr="009A2AD0">
        <w:rPr>
          <w:rFonts w:ascii="Bodoni" w:hAnsi="Bodoni" w:cs="Times New Roman"/>
          <w:noProof/>
          <w:szCs w:val="24"/>
        </w:rPr>
        <w:t>(13), 1–17. https://doi.org/10.3390/ijerph17134742</w:t>
      </w:r>
    </w:p>
    <w:p w14:paraId="6ACC301F"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Ma, V. J., &amp; Ma, X. (2014). A comparative analysis of the relationship between learning styles and mathematics performance. </w:t>
      </w:r>
      <w:r w:rsidRPr="009A2AD0">
        <w:rPr>
          <w:rFonts w:ascii="Bodoni" w:hAnsi="Bodoni" w:cs="Times New Roman"/>
          <w:i/>
          <w:iCs/>
          <w:noProof/>
          <w:szCs w:val="24"/>
        </w:rPr>
        <w:t>International Journal of STEM Education</w:t>
      </w:r>
      <w:r w:rsidRPr="009A2AD0">
        <w:rPr>
          <w:rFonts w:ascii="Bodoni" w:hAnsi="Bodoni" w:cs="Times New Roman"/>
          <w:noProof/>
          <w:szCs w:val="24"/>
        </w:rPr>
        <w:t xml:space="preserve">, </w:t>
      </w:r>
      <w:r w:rsidRPr="009A2AD0">
        <w:rPr>
          <w:rFonts w:ascii="Bodoni" w:hAnsi="Bodoni" w:cs="Times New Roman"/>
          <w:i/>
          <w:iCs/>
          <w:noProof/>
          <w:szCs w:val="24"/>
        </w:rPr>
        <w:t>1</w:t>
      </w:r>
      <w:r w:rsidRPr="009A2AD0">
        <w:rPr>
          <w:rFonts w:ascii="Bodoni" w:hAnsi="Bodoni" w:cs="Times New Roman"/>
          <w:noProof/>
          <w:szCs w:val="24"/>
        </w:rPr>
        <w:t>(1), 1–13. https://doi.org/10.1186/2196-7822-1-3</w:t>
      </w:r>
    </w:p>
    <w:p w14:paraId="365F111F"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Makgato, M., &amp; Mji, A. (2006). Factors associated with high school learners’ poor performance: a spotlight on mathematics and physical science. </w:t>
      </w:r>
      <w:r w:rsidRPr="009A2AD0">
        <w:rPr>
          <w:rFonts w:ascii="Bodoni" w:hAnsi="Bodoni" w:cs="Times New Roman"/>
          <w:i/>
          <w:iCs/>
          <w:noProof/>
          <w:szCs w:val="24"/>
        </w:rPr>
        <w:t>South African Journal of Education</w:t>
      </w:r>
      <w:r w:rsidRPr="009A2AD0">
        <w:rPr>
          <w:rFonts w:ascii="Bodoni" w:hAnsi="Bodoni" w:cs="Times New Roman"/>
          <w:noProof/>
          <w:szCs w:val="24"/>
        </w:rPr>
        <w:t xml:space="preserve">, </w:t>
      </w:r>
      <w:r w:rsidRPr="009A2AD0">
        <w:rPr>
          <w:rFonts w:ascii="Bodoni" w:hAnsi="Bodoni" w:cs="Times New Roman"/>
          <w:i/>
          <w:iCs/>
          <w:noProof/>
          <w:szCs w:val="24"/>
        </w:rPr>
        <w:t>26</w:t>
      </w:r>
      <w:r w:rsidRPr="009A2AD0">
        <w:rPr>
          <w:rFonts w:ascii="Bodoni" w:hAnsi="Bodoni" w:cs="Times New Roman"/>
          <w:noProof/>
          <w:szCs w:val="24"/>
        </w:rPr>
        <w:t>(2), 253–266. http://www.ajol.info/index.php/saje/article/viewFile/25068/20738</w:t>
      </w:r>
    </w:p>
    <w:p w14:paraId="7820A667"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Malepa-Qhobela, M., &amp; Mosimege, M. (2022). A framework to assist mathematics teachers in integrating problem solving in secondary school classrooms. </w:t>
      </w:r>
      <w:r w:rsidRPr="009A2AD0">
        <w:rPr>
          <w:rFonts w:ascii="Bodoni" w:hAnsi="Bodoni" w:cs="Times New Roman"/>
          <w:i/>
          <w:iCs/>
          <w:noProof/>
          <w:szCs w:val="24"/>
        </w:rPr>
        <w:t>Issues in Educational Research</w:t>
      </w:r>
      <w:r w:rsidRPr="009A2AD0">
        <w:rPr>
          <w:rFonts w:ascii="Bodoni" w:hAnsi="Bodoni" w:cs="Times New Roman"/>
          <w:noProof/>
          <w:szCs w:val="24"/>
        </w:rPr>
        <w:t xml:space="preserve">, </w:t>
      </w:r>
      <w:r w:rsidRPr="009A2AD0">
        <w:rPr>
          <w:rFonts w:ascii="Bodoni" w:hAnsi="Bodoni" w:cs="Times New Roman"/>
          <w:i/>
          <w:iCs/>
          <w:noProof/>
          <w:szCs w:val="24"/>
        </w:rPr>
        <w:t>32</w:t>
      </w:r>
      <w:r w:rsidRPr="009A2AD0">
        <w:rPr>
          <w:rFonts w:ascii="Bodoni" w:hAnsi="Bodoni" w:cs="Times New Roman"/>
          <w:noProof/>
          <w:szCs w:val="24"/>
        </w:rPr>
        <w:t>(4), 1486–1508.</w:t>
      </w:r>
    </w:p>
    <w:p w14:paraId="179CBCF3"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Mangwende, E., &amp; Maharaj, A. (2020). Barriers to Mathematics Teachers’ Use of Their Knowledge of Students’ Learning Styles in Mathematics Teaching: A Case of Secondary Schools in Zimbabwe. </w:t>
      </w:r>
      <w:r w:rsidRPr="009A2AD0">
        <w:rPr>
          <w:rFonts w:ascii="Bodoni" w:hAnsi="Bodoni" w:cs="Times New Roman"/>
          <w:i/>
          <w:iCs/>
          <w:noProof/>
          <w:szCs w:val="24"/>
        </w:rPr>
        <w:t>Eurasia Journal of Mathematics, Science and Technology Education</w:t>
      </w:r>
      <w:r w:rsidRPr="009A2AD0">
        <w:rPr>
          <w:rFonts w:ascii="Bodoni" w:hAnsi="Bodoni" w:cs="Times New Roman"/>
          <w:noProof/>
          <w:szCs w:val="24"/>
        </w:rPr>
        <w:t xml:space="preserve">, </w:t>
      </w:r>
      <w:r w:rsidRPr="009A2AD0">
        <w:rPr>
          <w:rFonts w:ascii="Bodoni" w:hAnsi="Bodoni" w:cs="Times New Roman"/>
          <w:i/>
          <w:iCs/>
          <w:noProof/>
          <w:szCs w:val="24"/>
        </w:rPr>
        <w:t>16</w:t>
      </w:r>
      <w:r w:rsidRPr="009A2AD0">
        <w:rPr>
          <w:rFonts w:ascii="Bodoni" w:hAnsi="Bodoni" w:cs="Times New Roman"/>
          <w:noProof/>
          <w:szCs w:val="24"/>
        </w:rPr>
        <w:t>(1), 1–15. https://doi.org/10.29333/ejmste/109198</w:t>
      </w:r>
    </w:p>
    <w:p w14:paraId="73096F98"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Maruta, S. I. (2021). Effects of Polya and Bransford-Stein Models on Retention in Trigonometry among Senior Secondary School Students in Kano State, Nigeria. </w:t>
      </w:r>
      <w:r w:rsidRPr="009A2AD0">
        <w:rPr>
          <w:rFonts w:ascii="Bodoni" w:hAnsi="Bodoni" w:cs="Times New Roman"/>
          <w:i/>
          <w:iCs/>
          <w:noProof/>
          <w:szCs w:val="24"/>
        </w:rPr>
        <w:t>Kano Journal of Educational Psychology (KaJEP)</w:t>
      </w:r>
      <w:r w:rsidRPr="009A2AD0">
        <w:rPr>
          <w:rFonts w:ascii="Bodoni" w:hAnsi="Bodoni" w:cs="Times New Roman"/>
          <w:noProof/>
          <w:szCs w:val="24"/>
        </w:rPr>
        <w:t xml:space="preserve">, </w:t>
      </w:r>
      <w:r w:rsidRPr="009A2AD0">
        <w:rPr>
          <w:rFonts w:ascii="Bodoni" w:hAnsi="Bodoni" w:cs="Times New Roman"/>
          <w:i/>
          <w:iCs/>
          <w:noProof/>
          <w:szCs w:val="24"/>
        </w:rPr>
        <w:t>3</w:t>
      </w:r>
      <w:r w:rsidRPr="009A2AD0">
        <w:rPr>
          <w:rFonts w:ascii="Bodoni" w:hAnsi="Bodoni" w:cs="Times New Roman"/>
          <w:noProof/>
          <w:szCs w:val="24"/>
        </w:rPr>
        <w:t>(1), 2021. www.kjnisepjournal.com</w:t>
      </w:r>
    </w:p>
    <w:p w14:paraId="4C0B18B3"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Mazana, M. Y., Montero, C. S., &amp; Casmir, R. O. (2018). Investigating Students’ Attitude towards Learning Mathematics. </w:t>
      </w:r>
      <w:r w:rsidRPr="009A2AD0">
        <w:rPr>
          <w:rFonts w:ascii="Bodoni" w:hAnsi="Bodoni" w:cs="Times New Roman"/>
          <w:i/>
          <w:iCs/>
          <w:noProof/>
          <w:szCs w:val="24"/>
        </w:rPr>
        <w:t>International Electronic Journal of Mathematics Education</w:t>
      </w:r>
      <w:r w:rsidRPr="009A2AD0">
        <w:rPr>
          <w:rFonts w:ascii="Bodoni" w:hAnsi="Bodoni" w:cs="Times New Roman"/>
          <w:noProof/>
          <w:szCs w:val="24"/>
        </w:rPr>
        <w:t xml:space="preserve">, </w:t>
      </w:r>
      <w:r w:rsidRPr="009A2AD0">
        <w:rPr>
          <w:rFonts w:ascii="Bodoni" w:hAnsi="Bodoni" w:cs="Times New Roman"/>
          <w:i/>
          <w:iCs/>
          <w:noProof/>
          <w:szCs w:val="24"/>
        </w:rPr>
        <w:t>14</w:t>
      </w:r>
      <w:r w:rsidRPr="009A2AD0">
        <w:rPr>
          <w:rFonts w:ascii="Bodoni" w:hAnsi="Bodoni" w:cs="Times New Roman"/>
          <w:noProof/>
          <w:szCs w:val="24"/>
        </w:rPr>
        <w:t>(1), 207–231. https://doi.org/10.29333/iejme/3997</w:t>
      </w:r>
    </w:p>
    <w:p w14:paraId="60BF55E1"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Md-Ali, R., &amp; Veloo, A. (2021). the Issues and Challenges of Mathematics Teaching and Learning in Malaysia Orang Asli Primary Schools From Teachers’ Perspectives. </w:t>
      </w:r>
      <w:r w:rsidRPr="009A2AD0">
        <w:rPr>
          <w:rFonts w:ascii="Bodoni" w:hAnsi="Bodoni" w:cs="Times New Roman"/>
          <w:i/>
          <w:iCs/>
          <w:noProof/>
          <w:szCs w:val="24"/>
        </w:rPr>
        <w:t>Malaysian Journal of Learning and Instruction</w:t>
      </w:r>
      <w:r w:rsidRPr="009A2AD0">
        <w:rPr>
          <w:rFonts w:ascii="Bodoni" w:hAnsi="Bodoni" w:cs="Times New Roman"/>
          <w:noProof/>
          <w:szCs w:val="24"/>
        </w:rPr>
        <w:t xml:space="preserve">, </w:t>
      </w:r>
      <w:r w:rsidRPr="009A2AD0">
        <w:rPr>
          <w:rFonts w:ascii="Bodoni" w:hAnsi="Bodoni" w:cs="Times New Roman"/>
          <w:i/>
          <w:iCs/>
          <w:noProof/>
          <w:szCs w:val="24"/>
        </w:rPr>
        <w:t>18</w:t>
      </w:r>
      <w:r w:rsidRPr="009A2AD0">
        <w:rPr>
          <w:rFonts w:ascii="Bodoni" w:hAnsi="Bodoni" w:cs="Times New Roman"/>
          <w:noProof/>
          <w:szCs w:val="24"/>
        </w:rPr>
        <w:t>(2), 129–160. https://doi.org/10.32890/mjli2021.18.2.5</w:t>
      </w:r>
    </w:p>
    <w:p w14:paraId="274E8430"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Nancekivell, S. E., Shah, P., &amp; Gelman, S. A. (2020). Maybe they’re born with it, or maybe it’s experience: Toward a deeper understanding of the learning style myth. </w:t>
      </w:r>
      <w:r w:rsidRPr="009A2AD0">
        <w:rPr>
          <w:rFonts w:ascii="Bodoni" w:hAnsi="Bodoni" w:cs="Times New Roman"/>
          <w:i/>
          <w:iCs/>
          <w:noProof/>
          <w:szCs w:val="24"/>
        </w:rPr>
        <w:t>Journal of Educational Psychology</w:t>
      </w:r>
      <w:r w:rsidRPr="009A2AD0">
        <w:rPr>
          <w:rFonts w:ascii="Bodoni" w:hAnsi="Bodoni" w:cs="Times New Roman"/>
          <w:noProof/>
          <w:szCs w:val="24"/>
        </w:rPr>
        <w:t xml:space="preserve">, </w:t>
      </w:r>
      <w:r w:rsidRPr="009A2AD0">
        <w:rPr>
          <w:rFonts w:ascii="Bodoni" w:hAnsi="Bodoni" w:cs="Times New Roman"/>
          <w:i/>
          <w:iCs/>
          <w:noProof/>
          <w:szCs w:val="24"/>
        </w:rPr>
        <w:t>112</w:t>
      </w:r>
      <w:r w:rsidRPr="009A2AD0">
        <w:rPr>
          <w:rFonts w:ascii="Bodoni" w:hAnsi="Bodoni" w:cs="Times New Roman"/>
          <w:noProof/>
          <w:szCs w:val="24"/>
        </w:rPr>
        <w:t>(2), 221–235. https://doi.org/10.1037/edu0000366</w:t>
      </w:r>
    </w:p>
    <w:p w14:paraId="0A31EB0D"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Newton, P. M., &amp; Miah, M. (2017). Evidence-based higher education - Is the learning styles “myth” important? </w:t>
      </w:r>
      <w:r w:rsidRPr="009A2AD0">
        <w:rPr>
          <w:rFonts w:ascii="Bodoni" w:hAnsi="Bodoni" w:cs="Times New Roman"/>
          <w:i/>
          <w:iCs/>
          <w:noProof/>
          <w:szCs w:val="24"/>
        </w:rPr>
        <w:t>Frontiers in Psychology</w:t>
      </w:r>
      <w:r w:rsidRPr="009A2AD0">
        <w:rPr>
          <w:rFonts w:ascii="Bodoni" w:hAnsi="Bodoni" w:cs="Times New Roman"/>
          <w:noProof/>
          <w:szCs w:val="24"/>
        </w:rPr>
        <w:t xml:space="preserve">, </w:t>
      </w:r>
      <w:r w:rsidRPr="009A2AD0">
        <w:rPr>
          <w:rFonts w:ascii="Bodoni" w:hAnsi="Bodoni" w:cs="Times New Roman"/>
          <w:i/>
          <w:iCs/>
          <w:noProof/>
          <w:szCs w:val="24"/>
        </w:rPr>
        <w:t>8</w:t>
      </w:r>
      <w:r w:rsidRPr="009A2AD0">
        <w:rPr>
          <w:rFonts w:ascii="Bodoni" w:hAnsi="Bodoni" w:cs="Times New Roman"/>
          <w:noProof/>
          <w:szCs w:val="24"/>
        </w:rPr>
        <w:t>(3), 1–9. https://doi.org/10.3389/fpsyg.2017.00444</w:t>
      </w:r>
    </w:p>
    <w:p w14:paraId="3812FB62"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Özgen, K., Tataroǧlu, B., &amp; Alkan, H. (2011). An examination of brain dominance and learning styles of pre-service mathematics teachers. </w:t>
      </w:r>
      <w:r w:rsidRPr="009A2AD0">
        <w:rPr>
          <w:rFonts w:ascii="Bodoni" w:hAnsi="Bodoni" w:cs="Times New Roman"/>
          <w:i/>
          <w:iCs/>
          <w:noProof/>
          <w:szCs w:val="24"/>
        </w:rPr>
        <w:t>Procedia - Social and Behavioral Sciences</w:t>
      </w:r>
      <w:r w:rsidRPr="009A2AD0">
        <w:rPr>
          <w:rFonts w:ascii="Bodoni" w:hAnsi="Bodoni" w:cs="Times New Roman"/>
          <w:noProof/>
          <w:szCs w:val="24"/>
        </w:rPr>
        <w:t xml:space="preserve">, </w:t>
      </w:r>
      <w:r w:rsidRPr="009A2AD0">
        <w:rPr>
          <w:rFonts w:ascii="Bodoni" w:hAnsi="Bodoni" w:cs="Times New Roman"/>
          <w:i/>
          <w:iCs/>
          <w:noProof/>
          <w:szCs w:val="24"/>
        </w:rPr>
        <w:t>15</w:t>
      </w:r>
      <w:r w:rsidRPr="009A2AD0">
        <w:rPr>
          <w:rFonts w:ascii="Bodoni" w:hAnsi="Bodoni" w:cs="Times New Roman"/>
          <w:noProof/>
          <w:szCs w:val="24"/>
        </w:rPr>
        <w:t>, 743–750. https://doi.org/10.1016/j.sbspro.2011.03.176</w:t>
      </w:r>
    </w:p>
    <w:p w14:paraId="4B42B824"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ÖZKAYA, M., KALAÇ, S., &amp; KONYALIOĞLU, A. C. (2022). The effect of positive error climate on affective domains in mathematics teaching. </w:t>
      </w:r>
      <w:r w:rsidRPr="009A2AD0">
        <w:rPr>
          <w:rFonts w:ascii="Bodoni" w:hAnsi="Bodoni" w:cs="Times New Roman"/>
          <w:i/>
          <w:iCs/>
          <w:noProof/>
          <w:szCs w:val="24"/>
        </w:rPr>
        <w:t>International Journal of Assessment Tools in Education</w:t>
      </w:r>
      <w:r w:rsidRPr="009A2AD0">
        <w:rPr>
          <w:rFonts w:ascii="Bodoni" w:hAnsi="Bodoni" w:cs="Times New Roman"/>
          <w:noProof/>
          <w:szCs w:val="24"/>
        </w:rPr>
        <w:t xml:space="preserve">, </w:t>
      </w:r>
      <w:r w:rsidRPr="009A2AD0">
        <w:rPr>
          <w:rFonts w:ascii="Bodoni" w:hAnsi="Bodoni" w:cs="Times New Roman"/>
          <w:i/>
          <w:iCs/>
          <w:noProof/>
          <w:szCs w:val="24"/>
        </w:rPr>
        <w:t>9</w:t>
      </w:r>
      <w:r w:rsidRPr="009A2AD0">
        <w:rPr>
          <w:rFonts w:ascii="Bodoni" w:hAnsi="Bodoni" w:cs="Times New Roman"/>
          <w:noProof/>
          <w:szCs w:val="24"/>
        </w:rPr>
        <w:t>(Special Issue), 236–257. https://doi.org/10.21449/ijate.1121828</w:t>
      </w:r>
    </w:p>
    <w:p w14:paraId="599F193D"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Rao, N. J. (2020). Outcome-based Education : An Outline. </w:t>
      </w:r>
      <w:r w:rsidRPr="009A2AD0">
        <w:rPr>
          <w:rFonts w:ascii="Bodoni" w:hAnsi="Bodoni" w:cs="Times New Roman"/>
          <w:i/>
          <w:iCs/>
          <w:noProof/>
          <w:szCs w:val="24"/>
        </w:rPr>
        <w:t>Higher Education for the Future</w:t>
      </w:r>
      <w:r w:rsidRPr="009A2AD0">
        <w:rPr>
          <w:rFonts w:ascii="Bodoni" w:hAnsi="Bodoni" w:cs="Times New Roman"/>
          <w:noProof/>
          <w:szCs w:val="24"/>
        </w:rPr>
        <w:t xml:space="preserve">, </w:t>
      </w:r>
      <w:r w:rsidRPr="009A2AD0">
        <w:rPr>
          <w:rFonts w:ascii="Bodoni" w:hAnsi="Bodoni" w:cs="Times New Roman"/>
          <w:i/>
          <w:iCs/>
          <w:noProof/>
          <w:szCs w:val="24"/>
        </w:rPr>
        <w:t>7</w:t>
      </w:r>
      <w:r w:rsidRPr="009A2AD0">
        <w:rPr>
          <w:rFonts w:ascii="Bodoni" w:hAnsi="Bodoni" w:cs="Times New Roman"/>
          <w:noProof/>
          <w:szCs w:val="24"/>
        </w:rPr>
        <w:t>(1), 5–21. https://doi.org/10.1177/2347631119886418</w:t>
      </w:r>
    </w:p>
    <w:p w14:paraId="47982309"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Rijken, P. E., &amp; Fraser, B. J. (2023). Effectiveness of project-based mathematics in first-year high school in terms of learning environment and student outcomes. </w:t>
      </w:r>
      <w:r w:rsidRPr="009A2AD0">
        <w:rPr>
          <w:rFonts w:ascii="Bodoni" w:hAnsi="Bodoni" w:cs="Times New Roman"/>
          <w:i/>
          <w:iCs/>
          <w:noProof/>
          <w:szCs w:val="24"/>
        </w:rPr>
        <w:t>Learning Environments Research</w:t>
      </w:r>
      <w:r w:rsidRPr="009A2AD0">
        <w:rPr>
          <w:rFonts w:ascii="Bodoni" w:hAnsi="Bodoni" w:cs="Times New Roman"/>
          <w:noProof/>
          <w:szCs w:val="24"/>
        </w:rPr>
        <w:t>, 1–23. https://doi.org/10.1007/s10984-023-09477-7</w:t>
      </w:r>
    </w:p>
    <w:p w14:paraId="3284DCFF"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Sachdeva, S., &amp; Eggen, P.-O. (2021). Learners’ Critical Thinking About Learning Mathematics. </w:t>
      </w:r>
      <w:r w:rsidRPr="009A2AD0">
        <w:rPr>
          <w:rFonts w:ascii="Bodoni" w:hAnsi="Bodoni" w:cs="Times New Roman"/>
          <w:i/>
          <w:iCs/>
          <w:noProof/>
          <w:szCs w:val="24"/>
        </w:rPr>
        <w:t>International Electronic Journal of Mathematics Education</w:t>
      </w:r>
      <w:r w:rsidRPr="009A2AD0">
        <w:rPr>
          <w:rFonts w:ascii="Bodoni" w:hAnsi="Bodoni" w:cs="Times New Roman"/>
          <w:noProof/>
          <w:szCs w:val="24"/>
        </w:rPr>
        <w:t xml:space="preserve">, </w:t>
      </w:r>
      <w:r w:rsidRPr="009A2AD0">
        <w:rPr>
          <w:rFonts w:ascii="Bodoni" w:hAnsi="Bodoni" w:cs="Times New Roman"/>
          <w:i/>
          <w:iCs/>
          <w:noProof/>
          <w:szCs w:val="24"/>
        </w:rPr>
        <w:t>16</w:t>
      </w:r>
      <w:r w:rsidRPr="009A2AD0">
        <w:rPr>
          <w:rFonts w:ascii="Bodoni" w:hAnsi="Bodoni" w:cs="Times New Roman"/>
          <w:noProof/>
          <w:szCs w:val="24"/>
        </w:rPr>
        <w:t xml:space="preserve">(3), 1–18. </w:t>
      </w:r>
      <w:r w:rsidRPr="009A2AD0">
        <w:rPr>
          <w:rFonts w:ascii="Bodoni" w:hAnsi="Bodoni" w:cs="Times New Roman"/>
          <w:noProof/>
          <w:szCs w:val="24"/>
        </w:rPr>
        <w:lastRenderedPageBreak/>
        <w:t>https://doi.org/10.29333/iejme/11003</w:t>
      </w:r>
    </w:p>
    <w:p w14:paraId="2E1EFC7A"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Setiyowati, A. J., Triyono, T., Rachmawati, I., &amp; Hidayati, N. (2020). Academic Procrastination of High School Students in East Java. </w:t>
      </w:r>
      <w:r w:rsidRPr="009A2AD0">
        <w:rPr>
          <w:rFonts w:ascii="Bodoni" w:hAnsi="Bodoni" w:cs="Times New Roman"/>
          <w:i/>
          <w:iCs/>
          <w:noProof/>
          <w:szCs w:val="24"/>
        </w:rPr>
        <w:t>PSIKOPEDAGOGIA Jurnal Bimbingan Dan Konseling</w:t>
      </w:r>
      <w:r w:rsidRPr="009A2AD0">
        <w:rPr>
          <w:rFonts w:ascii="Bodoni" w:hAnsi="Bodoni" w:cs="Times New Roman"/>
          <w:noProof/>
          <w:szCs w:val="24"/>
        </w:rPr>
        <w:t xml:space="preserve">, </w:t>
      </w:r>
      <w:r w:rsidRPr="009A2AD0">
        <w:rPr>
          <w:rFonts w:ascii="Bodoni" w:hAnsi="Bodoni" w:cs="Times New Roman"/>
          <w:i/>
          <w:iCs/>
          <w:noProof/>
          <w:szCs w:val="24"/>
        </w:rPr>
        <w:t>9</w:t>
      </w:r>
      <w:r w:rsidRPr="009A2AD0">
        <w:rPr>
          <w:rFonts w:ascii="Bodoni" w:hAnsi="Bodoni" w:cs="Times New Roman"/>
          <w:noProof/>
          <w:szCs w:val="24"/>
        </w:rPr>
        <w:t>(1), 46–52. https://doi.org/10.12928/psikopedagogia.v9i1.17907</w:t>
      </w:r>
    </w:p>
    <w:p w14:paraId="75C8A5FD"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Sharp, J. G., Bowker, R., &amp; Byrne, J. (2008). VAK or VAK-uous? Towards the trivialisation of learning and the death of scholarship. </w:t>
      </w:r>
      <w:r w:rsidRPr="009A2AD0">
        <w:rPr>
          <w:rFonts w:ascii="Bodoni" w:hAnsi="Bodoni" w:cs="Times New Roman"/>
          <w:i/>
          <w:iCs/>
          <w:noProof/>
          <w:szCs w:val="24"/>
        </w:rPr>
        <w:t>Research Papers in Education</w:t>
      </w:r>
      <w:r w:rsidRPr="009A2AD0">
        <w:rPr>
          <w:rFonts w:ascii="Bodoni" w:hAnsi="Bodoni" w:cs="Times New Roman"/>
          <w:noProof/>
          <w:szCs w:val="24"/>
        </w:rPr>
        <w:t xml:space="preserve">, </w:t>
      </w:r>
      <w:r w:rsidRPr="009A2AD0">
        <w:rPr>
          <w:rFonts w:ascii="Bodoni" w:hAnsi="Bodoni" w:cs="Times New Roman"/>
          <w:i/>
          <w:iCs/>
          <w:noProof/>
          <w:szCs w:val="24"/>
        </w:rPr>
        <w:t>23</w:t>
      </w:r>
      <w:r w:rsidRPr="009A2AD0">
        <w:rPr>
          <w:rFonts w:ascii="Bodoni" w:hAnsi="Bodoni" w:cs="Times New Roman"/>
          <w:noProof/>
          <w:szCs w:val="24"/>
        </w:rPr>
        <w:t>(3), 293–314. https://doi.org/10.1080/02671520701755416</w:t>
      </w:r>
    </w:p>
    <w:p w14:paraId="2D94DAAA"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Smit, R., Hess, K., Taras, A., Bachmann, P., &amp; Dober, H. (2023). The role of interactive dialogue in students’ learning of mathematical reasoning: A quantitative multi-method analysis of feedback episodes. </w:t>
      </w:r>
      <w:r w:rsidRPr="009A2AD0">
        <w:rPr>
          <w:rFonts w:ascii="Bodoni" w:hAnsi="Bodoni" w:cs="Times New Roman"/>
          <w:i/>
          <w:iCs/>
          <w:noProof/>
          <w:szCs w:val="24"/>
        </w:rPr>
        <w:t>Learning and Instruction</w:t>
      </w:r>
      <w:r w:rsidRPr="009A2AD0">
        <w:rPr>
          <w:rFonts w:ascii="Bodoni" w:hAnsi="Bodoni" w:cs="Times New Roman"/>
          <w:noProof/>
          <w:szCs w:val="24"/>
        </w:rPr>
        <w:t xml:space="preserve">, </w:t>
      </w:r>
      <w:r w:rsidRPr="009A2AD0">
        <w:rPr>
          <w:rFonts w:ascii="Bodoni" w:hAnsi="Bodoni" w:cs="Times New Roman"/>
          <w:i/>
          <w:iCs/>
          <w:noProof/>
          <w:szCs w:val="24"/>
        </w:rPr>
        <w:t>86</w:t>
      </w:r>
      <w:r w:rsidRPr="009A2AD0">
        <w:rPr>
          <w:rFonts w:ascii="Bodoni" w:hAnsi="Bodoni" w:cs="Times New Roman"/>
          <w:noProof/>
          <w:szCs w:val="24"/>
        </w:rPr>
        <w:t>, 1–18. https://doi.org/10.1016/j.learninstruc.2023.101777</w:t>
      </w:r>
    </w:p>
    <w:p w14:paraId="42957A0F"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Sun, X., Norton, O., &amp; Nancekivell, S. E. (2023). Beware the myth: learning styles affect parents’, children’s, and teachers’ thinking about children’s academic potential. </w:t>
      </w:r>
      <w:r w:rsidRPr="009A2AD0">
        <w:rPr>
          <w:rFonts w:ascii="Bodoni" w:hAnsi="Bodoni" w:cs="Times New Roman"/>
          <w:i/>
          <w:iCs/>
          <w:noProof/>
          <w:szCs w:val="24"/>
        </w:rPr>
        <w:t>Npj Science of Learning</w:t>
      </w:r>
      <w:r w:rsidRPr="009A2AD0">
        <w:rPr>
          <w:rFonts w:ascii="Bodoni" w:hAnsi="Bodoni" w:cs="Times New Roman"/>
          <w:noProof/>
          <w:szCs w:val="24"/>
        </w:rPr>
        <w:t xml:space="preserve">, </w:t>
      </w:r>
      <w:r w:rsidRPr="009A2AD0">
        <w:rPr>
          <w:rFonts w:ascii="Bodoni" w:hAnsi="Bodoni" w:cs="Times New Roman"/>
          <w:i/>
          <w:iCs/>
          <w:noProof/>
          <w:szCs w:val="24"/>
        </w:rPr>
        <w:t>8</w:t>
      </w:r>
      <w:r w:rsidRPr="009A2AD0">
        <w:rPr>
          <w:rFonts w:ascii="Bodoni" w:hAnsi="Bodoni" w:cs="Times New Roman"/>
          <w:noProof/>
          <w:szCs w:val="24"/>
        </w:rPr>
        <w:t>(1), 1–11. https://doi.org/10.1038/s41539-023-00190-x</w:t>
      </w:r>
    </w:p>
    <w:p w14:paraId="7B78642B"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Tarmizi, R. A., &amp; Tarmizi, M. A. A. (2010). Analysis of mathematical beliefs of Malaysian secondary school students. </w:t>
      </w:r>
      <w:r w:rsidRPr="009A2AD0">
        <w:rPr>
          <w:rFonts w:ascii="Bodoni" w:hAnsi="Bodoni" w:cs="Times New Roman"/>
          <w:i/>
          <w:iCs/>
          <w:noProof/>
          <w:szCs w:val="24"/>
        </w:rPr>
        <w:t>Procedia - Social and Behavioral Sciences</w:t>
      </w:r>
      <w:r w:rsidRPr="009A2AD0">
        <w:rPr>
          <w:rFonts w:ascii="Bodoni" w:hAnsi="Bodoni" w:cs="Times New Roman"/>
          <w:noProof/>
          <w:szCs w:val="24"/>
        </w:rPr>
        <w:t xml:space="preserve">, </w:t>
      </w:r>
      <w:r w:rsidRPr="009A2AD0">
        <w:rPr>
          <w:rFonts w:ascii="Bodoni" w:hAnsi="Bodoni" w:cs="Times New Roman"/>
          <w:i/>
          <w:iCs/>
          <w:noProof/>
          <w:szCs w:val="24"/>
        </w:rPr>
        <w:t>2</w:t>
      </w:r>
      <w:r w:rsidRPr="009A2AD0">
        <w:rPr>
          <w:rFonts w:ascii="Bodoni" w:hAnsi="Bodoni" w:cs="Times New Roman"/>
          <w:noProof/>
          <w:szCs w:val="24"/>
        </w:rPr>
        <w:t>(2), 4702–4706. https://doi.org/10.1016/j.sbspro.2010.03.753</w:t>
      </w:r>
    </w:p>
    <w:p w14:paraId="54A7B3D7"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Wan Hussin, W. A. S., &amp; Mohd Matore, M. E. E. (2023). The influence of learning styles on academic procrastination among students in mathematics. </w:t>
      </w:r>
      <w:r w:rsidRPr="009A2AD0">
        <w:rPr>
          <w:rFonts w:ascii="Bodoni" w:hAnsi="Bodoni" w:cs="Times New Roman"/>
          <w:i/>
          <w:iCs/>
          <w:noProof/>
          <w:szCs w:val="24"/>
        </w:rPr>
        <w:t>Frontiers in Psychology</w:t>
      </w:r>
      <w:r w:rsidRPr="009A2AD0">
        <w:rPr>
          <w:rFonts w:ascii="Bodoni" w:hAnsi="Bodoni" w:cs="Times New Roman"/>
          <w:noProof/>
          <w:szCs w:val="24"/>
        </w:rPr>
        <w:t xml:space="preserve">, </w:t>
      </w:r>
      <w:r w:rsidRPr="009A2AD0">
        <w:rPr>
          <w:rFonts w:ascii="Bodoni" w:hAnsi="Bodoni" w:cs="Times New Roman"/>
          <w:i/>
          <w:iCs/>
          <w:noProof/>
          <w:szCs w:val="24"/>
        </w:rPr>
        <w:t>14</w:t>
      </w:r>
      <w:r w:rsidRPr="009A2AD0">
        <w:rPr>
          <w:rFonts w:ascii="Bodoni" w:hAnsi="Bodoni" w:cs="Times New Roman"/>
          <w:noProof/>
          <w:szCs w:val="24"/>
        </w:rPr>
        <w:t>, 1–12. https://doi.org/10.3389/fpsyg.2023.1239933</w:t>
      </w:r>
    </w:p>
    <w:p w14:paraId="40AB2070"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Wang, X. S., Perry, L. B., Malpique, A., &amp; Ide, T. (2023). Factors predicting mathematics achievement in PISA: a systematic review. In </w:t>
      </w:r>
      <w:r w:rsidRPr="009A2AD0">
        <w:rPr>
          <w:rFonts w:ascii="Bodoni" w:hAnsi="Bodoni" w:cs="Times New Roman"/>
          <w:i/>
          <w:iCs/>
          <w:noProof/>
          <w:szCs w:val="24"/>
        </w:rPr>
        <w:t>Large-Scale Assessments in Education</w:t>
      </w:r>
      <w:r w:rsidRPr="009A2AD0">
        <w:rPr>
          <w:rFonts w:ascii="Bodoni" w:hAnsi="Bodoni" w:cs="Times New Roman"/>
          <w:noProof/>
          <w:szCs w:val="24"/>
        </w:rPr>
        <w:t xml:space="preserve"> (Vol. 11, Issue 1). Springer US. https://doi.org/10.1186/s40536-023-00174-8</w:t>
      </w:r>
    </w:p>
    <w:p w14:paraId="000840A8"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Weintrop, D., Beheshti, E., Horn, M., Orton, K., Jona, K., Trouille, L., &amp; Wilensky, U. (2016). Defining Computational Thinking for Mathematics and Science Classrooms. </w:t>
      </w:r>
      <w:r w:rsidRPr="009A2AD0">
        <w:rPr>
          <w:rFonts w:ascii="Bodoni" w:hAnsi="Bodoni" w:cs="Times New Roman"/>
          <w:i/>
          <w:iCs/>
          <w:noProof/>
          <w:szCs w:val="24"/>
        </w:rPr>
        <w:t>Journal of Science Education and Technology</w:t>
      </w:r>
      <w:r w:rsidRPr="009A2AD0">
        <w:rPr>
          <w:rFonts w:ascii="Bodoni" w:hAnsi="Bodoni" w:cs="Times New Roman"/>
          <w:noProof/>
          <w:szCs w:val="24"/>
        </w:rPr>
        <w:t xml:space="preserve">, </w:t>
      </w:r>
      <w:r w:rsidRPr="009A2AD0">
        <w:rPr>
          <w:rFonts w:ascii="Bodoni" w:hAnsi="Bodoni" w:cs="Times New Roman"/>
          <w:i/>
          <w:iCs/>
          <w:noProof/>
          <w:szCs w:val="24"/>
        </w:rPr>
        <w:t>25</w:t>
      </w:r>
      <w:r w:rsidRPr="009A2AD0">
        <w:rPr>
          <w:rFonts w:ascii="Bodoni" w:hAnsi="Bodoni" w:cs="Times New Roman"/>
          <w:noProof/>
          <w:szCs w:val="24"/>
        </w:rPr>
        <w:t>(1), 127–147. https://doi.org/10.1007/s10956-015-9581-5</w:t>
      </w:r>
    </w:p>
    <w:p w14:paraId="57A529F2"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cs="Times New Roman"/>
          <w:noProof/>
          <w:szCs w:val="24"/>
        </w:rPr>
      </w:pPr>
      <w:r w:rsidRPr="009A2AD0">
        <w:rPr>
          <w:rFonts w:ascii="Bodoni" w:hAnsi="Bodoni" w:cs="Times New Roman"/>
          <w:noProof/>
          <w:szCs w:val="24"/>
        </w:rPr>
        <w:t xml:space="preserve">Yeh, C. Y. C., Cheng, H. N. H., Chen, Z. H., Liao, C. C. Y., &amp; Chan, T. W. (2019). Enhancing achievement and interest in mathematics learning through Math-Island. </w:t>
      </w:r>
      <w:r w:rsidRPr="009A2AD0">
        <w:rPr>
          <w:rFonts w:ascii="Bodoni" w:hAnsi="Bodoni" w:cs="Times New Roman"/>
          <w:i/>
          <w:iCs/>
          <w:noProof/>
          <w:szCs w:val="24"/>
        </w:rPr>
        <w:t>Research and Practice in Technology Enhanced Learning</w:t>
      </w:r>
      <w:r w:rsidRPr="009A2AD0">
        <w:rPr>
          <w:rFonts w:ascii="Bodoni" w:hAnsi="Bodoni" w:cs="Times New Roman"/>
          <w:noProof/>
          <w:szCs w:val="24"/>
        </w:rPr>
        <w:t xml:space="preserve">, </w:t>
      </w:r>
      <w:r w:rsidRPr="009A2AD0">
        <w:rPr>
          <w:rFonts w:ascii="Bodoni" w:hAnsi="Bodoni" w:cs="Times New Roman"/>
          <w:i/>
          <w:iCs/>
          <w:noProof/>
          <w:szCs w:val="24"/>
        </w:rPr>
        <w:t>14</w:t>
      </w:r>
      <w:r w:rsidRPr="009A2AD0">
        <w:rPr>
          <w:rFonts w:ascii="Bodoni" w:hAnsi="Bodoni" w:cs="Times New Roman"/>
          <w:noProof/>
          <w:szCs w:val="24"/>
        </w:rPr>
        <w:t>(1), 1–19. https://doi.org/10.1186/s41039-019-0100-9</w:t>
      </w:r>
    </w:p>
    <w:p w14:paraId="76471C9A" w14:textId="77777777" w:rsidR="009A2AD0" w:rsidRPr="009A2AD0" w:rsidRDefault="009A2AD0" w:rsidP="009A2AD0">
      <w:pPr>
        <w:widowControl w:val="0"/>
        <w:autoSpaceDE w:val="0"/>
        <w:autoSpaceDN w:val="0"/>
        <w:adjustRightInd w:val="0"/>
        <w:spacing w:after="40" w:line="240" w:lineRule="auto"/>
        <w:ind w:left="480" w:hanging="480"/>
        <w:jc w:val="both"/>
        <w:rPr>
          <w:rFonts w:ascii="Bodoni" w:hAnsi="Bodoni"/>
          <w:noProof/>
        </w:rPr>
      </w:pPr>
      <w:r w:rsidRPr="009A2AD0">
        <w:rPr>
          <w:rFonts w:ascii="Bodoni" w:hAnsi="Bodoni" w:cs="Times New Roman"/>
          <w:noProof/>
          <w:szCs w:val="24"/>
        </w:rPr>
        <w:t xml:space="preserve">Zales, J. P., &amp; Vasquez, R. S. (2022). Learning styles and achievement in geometry. </w:t>
      </w:r>
      <w:r w:rsidRPr="009A2AD0">
        <w:rPr>
          <w:rFonts w:ascii="Bodoni" w:hAnsi="Bodoni" w:cs="Times New Roman"/>
          <w:i/>
          <w:iCs/>
          <w:noProof/>
          <w:szCs w:val="24"/>
        </w:rPr>
        <w:t>South Florida Journal of Development</w:t>
      </w:r>
      <w:r w:rsidRPr="009A2AD0">
        <w:rPr>
          <w:rFonts w:ascii="Bodoni" w:hAnsi="Bodoni" w:cs="Times New Roman"/>
          <w:noProof/>
          <w:szCs w:val="24"/>
        </w:rPr>
        <w:t xml:space="preserve">, </w:t>
      </w:r>
      <w:r w:rsidRPr="009A2AD0">
        <w:rPr>
          <w:rFonts w:ascii="Bodoni" w:hAnsi="Bodoni" w:cs="Times New Roman"/>
          <w:i/>
          <w:iCs/>
          <w:noProof/>
          <w:szCs w:val="24"/>
        </w:rPr>
        <w:t>3</w:t>
      </w:r>
      <w:r w:rsidRPr="009A2AD0">
        <w:rPr>
          <w:rFonts w:ascii="Bodoni" w:hAnsi="Bodoni" w:cs="Times New Roman"/>
          <w:noProof/>
          <w:szCs w:val="24"/>
        </w:rPr>
        <w:t>(4), 5542–5548. https://doi.org/10.46932/sfjdv3n4-117</w:t>
      </w:r>
    </w:p>
    <w:p w14:paraId="53D4C26B" w14:textId="3E7BEC3A" w:rsidR="00B35D94" w:rsidRDefault="009A2AD0" w:rsidP="009A2AD0">
      <w:pPr>
        <w:pBdr>
          <w:top w:val="nil"/>
          <w:left w:val="nil"/>
          <w:bottom w:val="nil"/>
          <w:right w:val="nil"/>
          <w:between w:val="nil"/>
        </w:pBdr>
        <w:spacing w:after="40" w:line="276" w:lineRule="auto"/>
        <w:jc w:val="both"/>
        <w:rPr>
          <w:rFonts w:ascii="Bodoni" w:eastAsia="Bodoni" w:hAnsi="Bodoni" w:cs="Bodoni"/>
          <w:b/>
          <w:color w:val="FF0000"/>
        </w:rPr>
      </w:pPr>
      <w:r>
        <w:rPr>
          <w:rFonts w:ascii="Bodoni" w:eastAsia="Bodoni" w:hAnsi="Bodoni" w:cs="Bodoni"/>
          <w:b/>
          <w:color w:val="FF0000"/>
        </w:rPr>
        <w:fldChar w:fldCharType="end"/>
      </w:r>
    </w:p>
    <w:p w14:paraId="243369E6" w14:textId="77777777" w:rsidR="00B35D94" w:rsidRDefault="00B35D94" w:rsidP="009A2AD0">
      <w:pPr>
        <w:spacing w:line="276" w:lineRule="auto"/>
        <w:ind w:left="-567"/>
        <w:jc w:val="both"/>
        <w:rPr>
          <w:rFonts w:ascii="Bodoni" w:eastAsia="Bodoni" w:hAnsi="Bodoni" w:cs="Bodoni"/>
        </w:rPr>
      </w:pPr>
    </w:p>
    <w:p w14:paraId="63726D07" w14:textId="77777777" w:rsidR="00B35D94" w:rsidRDefault="00B35D94" w:rsidP="009A2AD0">
      <w:pPr>
        <w:spacing w:line="276" w:lineRule="auto"/>
        <w:jc w:val="both"/>
        <w:rPr>
          <w:rFonts w:ascii="Bodoni" w:eastAsia="Bodoni" w:hAnsi="Bodoni" w:cs="Bodoni"/>
        </w:rPr>
      </w:pPr>
    </w:p>
    <w:p w14:paraId="37CD8288" w14:textId="77777777" w:rsidR="00B35D94" w:rsidRDefault="00B35D94" w:rsidP="009A2AD0">
      <w:pPr>
        <w:spacing w:line="276" w:lineRule="auto"/>
        <w:jc w:val="both"/>
        <w:rPr>
          <w:rFonts w:ascii="Bodoni" w:eastAsia="Bodoni" w:hAnsi="Bodoni" w:cs="Bodoni"/>
        </w:rPr>
      </w:pPr>
    </w:p>
    <w:p w14:paraId="62155ED7" w14:textId="77777777" w:rsidR="00B35D94" w:rsidRDefault="00B35D94" w:rsidP="009A2AD0">
      <w:pPr>
        <w:spacing w:line="276" w:lineRule="auto"/>
        <w:jc w:val="both"/>
        <w:rPr>
          <w:rFonts w:ascii="Bodoni" w:eastAsia="Bodoni" w:hAnsi="Bodoni" w:cs="Bodoni"/>
        </w:rPr>
      </w:pPr>
    </w:p>
    <w:p w14:paraId="68E44A3A" w14:textId="77777777" w:rsidR="00B35D94" w:rsidRDefault="00B35D94" w:rsidP="009A2AD0">
      <w:pPr>
        <w:spacing w:line="276" w:lineRule="auto"/>
        <w:jc w:val="both"/>
        <w:rPr>
          <w:rFonts w:ascii="Bodoni" w:eastAsia="Bodoni" w:hAnsi="Bodoni" w:cs="Bodoni"/>
        </w:rPr>
      </w:pPr>
    </w:p>
    <w:p w14:paraId="19007108" w14:textId="77777777" w:rsidR="00B35D94" w:rsidRDefault="00B35D94" w:rsidP="009A2AD0">
      <w:pPr>
        <w:spacing w:line="276" w:lineRule="auto"/>
        <w:jc w:val="both"/>
        <w:rPr>
          <w:rFonts w:ascii="Bodoni" w:eastAsia="Bodoni" w:hAnsi="Bodoni" w:cs="Bodoni"/>
        </w:rPr>
      </w:pPr>
    </w:p>
    <w:sectPr w:rsidR="00B35D94">
      <w:headerReference w:type="default" r:id="rId12"/>
      <w:footerReference w:type="default" r:id="rId13"/>
      <w:pgSz w:w="11906" w:h="16838"/>
      <w:pgMar w:top="1440" w:right="1134" w:bottom="1440"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B0203" w14:textId="77777777" w:rsidR="00350C54" w:rsidRDefault="00350C54">
      <w:pPr>
        <w:spacing w:after="0" w:line="240" w:lineRule="auto"/>
      </w:pPr>
      <w:r>
        <w:separator/>
      </w:r>
    </w:p>
  </w:endnote>
  <w:endnote w:type="continuationSeparator" w:id="0">
    <w:p w14:paraId="66059FAC" w14:textId="77777777" w:rsidR="00350C54" w:rsidRDefault="0035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doni">
    <w:altName w:val="Times New Roman"/>
    <w:charset w:val="00"/>
    <w:family w:val="auto"/>
    <w:pitch w:val="default"/>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94692" w14:textId="77777777" w:rsidR="00034F31" w:rsidRDefault="00034F31">
    <w:pPr>
      <w:widowControl w:val="0"/>
      <w:pBdr>
        <w:top w:val="nil"/>
        <w:left w:val="nil"/>
        <w:bottom w:val="nil"/>
        <w:right w:val="nil"/>
        <w:between w:val="nil"/>
      </w:pBdr>
      <w:spacing w:after="0" w:line="276" w:lineRule="auto"/>
      <w:rPr>
        <w:color w:val="000000"/>
      </w:rPr>
    </w:pPr>
  </w:p>
  <w:tbl>
    <w:tblPr>
      <w:tblStyle w:val="a0"/>
      <w:tblW w:w="9638" w:type="dxa"/>
      <w:jc w:val="right"/>
      <w:tblLayout w:type="fixed"/>
      <w:tblLook w:val="0400" w:firstRow="0" w:lastRow="0" w:firstColumn="0" w:lastColumn="0" w:noHBand="0" w:noVBand="1"/>
    </w:tblPr>
    <w:tblGrid>
      <w:gridCol w:w="9156"/>
      <w:gridCol w:w="482"/>
    </w:tblGrid>
    <w:tr w:rsidR="00034F31" w14:paraId="2848DC2F" w14:textId="77777777">
      <w:trPr>
        <w:jc w:val="right"/>
      </w:trPr>
      <w:tc>
        <w:tcPr>
          <w:tcW w:w="9156" w:type="dxa"/>
          <w:vAlign w:val="center"/>
        </w:tcPr>
        <w:p w14:paraId="66551A0A" w14:textId="77777777" w:rsidR="00034F31" w:rsidRDefault="00034F31">
          <w:pPr>
            <w:pBdr>
              <w:top w:val="nil"/>
              <w:left w:val="nil"/>
              <w:bottom w:val="nil"/>
              <w:right w:val="nil"/>
              <w:between w:val="nil"/>
            </w:pBdr>
            <w:tabs>
              <w:tab w:val="center" w:pos="4513"/>
              <w:tab w:val="right" w:pos="9026"/>
            </w:tabs>
            <w:spacing w:after="0" w:line="240" w:lineRule="auto"/>
            <w:jc w:val="right"/>
            <w:rPr>
              <w:smallCaps/>
              <w:color w:val="000000"/>
            </w:rPr>
          </w:pPr>
          <w:r>
            <w:rPr>
              <w:b/>
              <w:smallCaps/>
              <w:color w:val="000000"/>
            </w:rPr>
            <w:t>NAMA AUTHOR PERTAMA, DKK</w:t>
          </w:r>
        </w:p>
      </w:tc>
      <w:tc>
        <w:tcPr>
          <w:tcW w:w="482" w:type="dxa"/>
          <w:shd w:val="clear" w:color="auto" w:fill="ED7D31"/>
          <w:vAlign w:val="center"/>
        </w:tcPr>
        <w:p w14:paraId="69D4EB04" w14:textId="77777777" w:rsidR="00034F31" w:rsidRDefault="00034F31">
          <w:pPr>
            <w:pBdr>
              <w:top w:val="nil"/>
              <w:left w:val="nil"/>
              <w:bottom w:val="nil"/>
              <w:right w:val="nil"/>
              <w:between w:val="nil"/>
            </w:pBdr>
            <w:tabs>
              <w:tab w:val="center" w:pos="4513"/>
              <w:tab w:val="right" w:pos="9026"/>
            </w:tabs>
            <w:spacing w:after="0" w:line="240" w:lineRule="auto"/>
            <w:jc w:val="center"/>
            <w:rPr>
              <w:color w:val="FFFFFF"/>
            </w:rPr>
          </w:pPr>
          <w:r>
            <w:rPr>
              <w:color w:val="FFFFFF"/>
            </w:rPr>
            <w:fldChar w:fldCharType="begin"/>
          </w:r>
          <w:r>
            <w:rPr>
              <w:color w:val="FFFFFF"/>
            </w:rPr>
            <w:instrText>PAGE</w:instrText>
          </w:r>
          <w:r>
            <w:rPr>
              <w:color w:val="FFFFFF"/>
            </w:rPr>
            <w:fldChar w:fldCharType="separate"/>
          </w:r>
          <w:r w:rsidR="00E000EE">
            <w:rPr>
              <w:noProof/>
              <w:color w:val="FFFFFF"/>
            </w:rPr>
            <w:t>10</w:t>
          </w:r>
          <w:r>
            <w:rPr>
              <w:color w:val="FFFFFF"/>
            </w:rPr>
            <w:fldChar w:fldCharType="end"/>
          </w:r>
        </w:p>
      </w:tc>
    </w:tr>
  </w:tbl>
  <w:p w14:paraId="0E33C7DA" w14:textId="77777777" w:rsidR="00034F31" w:rsidRDefault="00034F3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0A680" w14:textId="77777777" w:rsidR="00350C54" w:rsidRDefault="00350C54">
      <w:pPr>
        <w:spacing w:after="0" w:line="240" w:lineRule="auto"/>
      </w:pPr>
      <w:r>
        <w:separator/>
      </w:r>
    </w:p>
  </w:footnote>
  <w:footnote w:type="continuationSeparator" w:id="0">
    <w:p w14:paraId="4CCF82EB" w14:textId="77777777" w:rsidR="00350C54" w:rsidRDefault="00350C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71A46" w14:textId="77777777" w:rsidR="00034F31" w:rsidRDefault="00034F31">
    <w:pPr>
      <w:pBdr>
        <w:top w:val="nil"/>
        <w:left w:val="nil"/>
        <w:bottom w:val="nil"/>
        <w:right w:val="nil"/>
        <w:between w:val="nil"/>
      </w:pBdr>
      <w:tabs>
        <w:tab w:val="center" w:pos="4513"/>
        <w:tab w:val="right" w:pos="9026"/>
      </w:tabs>
      <w:spacing w:after="0" w:line="240" w:lineRule="auto"/>
      <w:ind w:right="-1440"/>
      <w:rPr>
        <w:color w:val="000000"/>
      </w:rPr>
    </w:pPr>
    <w:r>
      <w:rPr>
        <w:noProof/>
        <w:lang w:val="en-US" w:eastAsia="en-US"/>
      </w:rPr>
      <w:drawing>
        <wp:anchor distT="0" distB="0" distL="114300" distR="114300" simplePos="0" relativeHeight="251658240" behindDoc="0" locked="0" layoutInCell="1" hidden="0" allowOverlap="1" wp14:anchorId="323337A3" wp14:editId="71EA3816">
          <wp:simplePos x="0" y="0"/>
          <wp:positionH relativeFrom="column">
            <wp:posOffset>-167639</wp:posOffset>
          </wp:positionH>
          <wp:positionV relativeFrom="paragraph">
            <wp:posOffset>-259714</wp:posOffset>
          </wp:positionV>
          <wp:extent cx="6534150" cy="1190625"/>
          <wp:effectExtent l="0" t="0" r="0" b="0"/>
          <wp:wrapTopAndBottom distT="0" dist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534150" cy="11906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85DA4"/>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23C73681"/>
    <w:multiLevelType w:val="multilevel"/>
    <w:tmpl w:val="FFFFFFFF"/>
    <w:lvl w:ilvl="0">
      <w:start w:val="1"/>
      <w:numFmt w:val="decimal"/>
      <w:pStyle w:val="Alishlah21heading1"/>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abstractNumId w:val="1"/>
  </w:num>
  <w:num w:numId="2">
    <w:abstractNumId w:val="0"/>
  </w:num>
  <w:num w:numId="3">
    <w:abstractNumId w:val="1"/>
    <w:lvlOverride w:ilvl="0">
      <w:startOverride w:val="3"/>
    </w:lvlOverride>
    <w:lvlOverride w:ilvl="1">
      <w:startOverride w:val="2"/>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D94"/>
    <w:rsid w:val="00034F31"/>
    <w:rsid w:val="0015342A"/>
    <w:rsid w:val="001C66BF"/>
    <w:rsid w:val="00231C32"/>
    <w:rsid w:val="00350C54"/>
    <w:rsid w:val="00412D5D"/>
    <w:rsid w:val="004F62F0"/>
    <w:rsid w:val="00613302"/>
    <w:rsid w:val="00613F76"/>
    <w:rsid w:val="00743CC5"/>
    <w:rsid w:val="00961EA8"/>
    <w:rsid w:val="009A2AD0"/>
    <w:rsid w:val="00AA66DA"/>
    <w:rsid w:val="00B35D94"/>
    <w:rsid w:val="00E000EE"/>
    <w:rsid w:val="00E941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5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0">
    <w:basedOn w:val="TableNormal"/>
    <w:tblPr>
      <w:tblStyleRowBandSize w:val="1"/>
      <w:tblStyleColBandSize w:val="1"/>
      <w:tblInd w:w="0" w:type="dxa"/>
      <w:tblCellMar>
        <w:top w:w="115" w:type="dxa"/>
        <w:left w:w="115" w:type="dxa"/>
        <w:bottom w:w="115" w:type="dxa"/>
        <w:right w:w="115" w:type="dxa"/>
      </w:tblCellMar>
    </w:tblPr>
  </w:style>
  <w:style w:type="paragraph" w:customStyle="1" w:styleId="Alishlah31text">
    <w:name w:val="Alishlah_3.1_text"/>
    <w:qFormat/>
    <w:rsid w:val="00231C32"/>
    <w:pPr>
      <w:adjustRightInd w:val="0"/>
      <w:snapToGrid w:val="0"/>
      <w:spacing w:after="0" w:line="260" w:lineRule="atLeast"/>
      <w:ind w:firstLine="425"/>
      <w:jc w:val="both"/>
    </w:pPr>
    <w:rPr>
      <w:rFonts w:ascii="Palatino Linotype" w:eastAsia="SimSun" w:hAnsi="Palatino Linotype" w:cs="Times New Roman"/>
      <w:color w:val="000000"/>
      <w:sz w:val="20"/>
      <w:lang w:val="en-US" w:eastAsia="de-DE"/>
    </w:rPr>
  </w:style>
  <w:style w:type="paragraph" w:styleId="BalloonText">
    <w:name w:val="Balloon Text"/>
    <w:basedOn w:val="Normal"/>
    <w:link w:val="BalloonTextChar"/>
    <w:uiPriority w:val="99"/>
    <w:semiHidden/>
    <w:unhideWhenUsed/>
    <w:rsid w:val="001C6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6BF"/>
    <w:rPr>
      <w:rFonts w:ascii="Tahoma" w:hAnsi="Tahoma" w:cs="Tahoma"/>
      <w:sz w:val="16"/>
      <w:szCs w:val="16"/>
    </w:rPr>
  </w:style>
  <w:style w:type="paragraph" w:customStyle="1" w:styleId="Alishlah21heading1">
    <w:name w:val="Alishlah_2.1_heading1"/>
    <w:basedOn w:val="Normal"/>
    <w:qFormat/>
    <w:rsid w:val="001C66BF"/>
    <w:pPr>
      <w:numPr>
        <w:numId w:val="1"/>
      </w:numPr>
      <w:adjustRightInd w:val="0"/>
      <w:snapToGrid w:val="0"/>
      <w:spacing w:before="240" w:after="120" w:line="260" w:lineRule="atLeast"/>
      <w:ind w:left="426" w:hanging="426"/>
      <w:outlineLvl w:val="0"/>
    </w:pPr>
    <w:rPr>
      <w:rFonts w:ascii="Palatino Linotype" w:eastAsia="SimSun" w:hAnsi="Palatino Linotype" w:cs="Times New Roman"/>
      <w:b/>
      <w:color w:val="000000"/>
      <w:sz w:val="20"/>
      <w:lang w:val="en-US" w:eastAsia="zh-CN"/>
    </w:rPr>
  </w:style>
  <w:style w:type="paragraph" w:styleId="BodyText">
    <w:name w:val="Body Text"/>
    <w:basedOn w:val="Normal"/>
    <w:link w:val="BodyTextChar"/>
    <w:uiPriority w:val="1"/>
    <w:qFormat/>
    <w:rsid w:val="001C66BF"/>
    <w:pPr>
      <w:widowControl w:val="0"/>
      <w:autoSpaceDE w:val="0"/>
      <w:autoSpaceDN w:val="0"/>
      <w:spacing w:after="0" w:line="240" w:lineRule="auto"/>
    </w:pPr>
    <w:rPr>
      <w:rFonts w:ascii="Times New Roman" w:eastAsia="SimSun" w:hAnsi="Times New Roman" w:cs="Times New Roman"/>
      <w:sz w:val="24"/>
      <w:szCs w:val="24"/>
      <w:lang w:val="en-US" w:eastAsia="en-US"/>
    </w:rPr>
  </w:style>
  <w:style w:type="character" w:customStyle="1" w:styleId="BodyTextChar">
    <w:name w:val="Body Text Char"/>
    <w:basedOn w:val="DefaultParagraphFont"/>
    <w:link w:val="BodyText"/>
    <w:uiPriority w:val="1"/>
    <w:rsid w:val="001C66BF"/>
    <w:rPr>
      <w:rFonts w:ascii="Times New Roman" w:eastAsia="SimSun" w:hAnsi="Times New Roman" w:cs="Times New Roman"/>
      <w:sz w:val="24"/>
      <w:szCs w:val="24"/>
      <w:lang w:val="en-US" w:eastAsia="en-US"/>
    </w:rPr>
  </w:style>
  <w:style w:type="paragraph" w:customStyle="1" w:styleId="TableParagraph">
    <w:name w:val="Table Paragraph"/>
    <w:basedOn w:val="Normal"/>
    <w:uiPriority w:val="1"/>
    <w:qFormat/>
    <w:rsid w:val="001C66BF"/>
    <w:pPr>
      <w:widowControl w:val="0"/>
      <w:autoSpaceDE w:val="0"/>
      <w:autoSpaceDN w:val="0"/>
      <w:spacing w:after="0" w:line="240" w:lineRule="auto"/>
    </w:pPr>
    <w:rPr>
      <w:rFonts w:ascii="Times New Roman" w:eastAsia="SimSun" w:hAnsi="Times New Roman" w:cs="Times New Roman"/>
      <w:lang w:val="en-US" w:eastAsia="en-US"/>
    </w:rPr>
  </w:style>
  <w:style w:type="paragraph" w:customStyle="1" w:styleId="Alishlah16affiliation">
    <w:name w:val="Alishlah_1.6_affiliation"/>
    <w:basedOn w:val="Normal"/>
    <w:qFormat/>
    <w:rsid w:val="00961EA8"/>
    <w:pPr>
      <w:adjustRightInd w:val="0"/>
      <w:snapToGrid w:val="0"/>
      <w:spacing w:after="0" w:line="200" w:lineRule="atLeast"/>
      <w:ind w:left="311" w:hanging="198"/>
    </w:pPr>
    <w:rPr>
      <w:rFonts w:ascii="Palatino Linotype" w:eastAsia="SimSun" w:hAnsi="Palatino Linotype" w:cs="Times New Roman"/>
      <w:color w:val="000000"/>
      <w:sz w:val="18"/>
      <w:szCs w:val="18"/>
      <w:lang w:val="en-US" w:eastAsia="de-DE"/>
    </w:rPr>
  </w:style>
  <w:style w:type="character" w:styleId="Hyperlink">
    <w:name w:val="Hyperlink"/>
    <w:basedOn w:val="DefaultParagraphFont"/>
    <w:uiPriority w:val="99"/>
    <w:unhideWhenUsed/>
    <w:rsid w:val="00961E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0">
    <w:basedOn w:val="TableNormal"/>
    <w:tblPr>
      <w:tblStyleRowBandSize w:val="1"/>
      <w:tblStyleColBandSize w:val="1"/>
      <w:tblInd w:w="0" w:type="dxa"/>
      <w:tblCellMar>
        <w:top w:w="115" w:type="dxa"/>
        <w:left w:w="115" w:type="dxa"/>
        <w:bottom w:w="115" w:type="dxa"/>
        <w:right w:w="115" w:type="dxa"/>
      </w:tblCellMar>
    </w:tblPr>
  </w:style>
  <w:style w:type="paragraph" w:customStyle="1" w:styleId="Alishlah31text">
    <w:name w:val="Alishlah_3.1_text"/>
    <w:qFormat/>
    <w:rsid w:val="00231C32"/>
    <w:pPr>
      <w:adjustRightInd w:val="0"/>
      <w:snapToGrid w:val="0"/>
      <w:spacing w:after="0" w:line="260" w:lineRule="atLeast"/>
      <w:ind w:firstLine="425"/>
      <w:jc w:val="both"/>
    </w:pPr>
    <w:rPr>
      <w:rFonts w:ascii="Palatino Linotype" w:eastAsia="SimSun" w:hAnsi="Palatino Linotype" w:cs="Times New Roman"/>
      <w:color w:val="000000"/>
      <w:sz w:val="20"/>
      <w:lang w:val="en-US" w:eastAsia="de-DE"/>
    </w:rPr>
  </w:style>
  <w:style w:type="paragraph" w:styleId="BalloonText">
    <w:name w:val="Balloon Text"/>
    <w:basedOn w:val="Normal"/>
    <w:link w:val="BalloonTextChar"/>
    <w:uiPriority w:val="99"/>
    <w:semiHidden/>
    <w:unhideWhenUsed/>
    <w:rsid w:val="001C6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6BF"/>
    <w:rPr>
      <w:rFonts w:ascii="Tahoma" w:hAnsi="Tahoma" w:cs="Tahoma"/>
      <w:sz w:val="16"/>
      <w:szCs w:val="16"/>
    </w:rPr>
  </w:style>
  <w:style w:type="paragraph" w:customStyle="1" w:styleId="Alishlah21heading1">
    <w:name w:val="Alishlah_2.1_heading1"/>
    <w:basedOn w:val="Normal"/>
    <w:qFormat/>
    <w:rsid w:val="001C66BF"/>
    <w:pPr>
      <w:numPr>
        <w:numId w:val="1"/>
      </w:numPr>
      <w:adjustRightInd w:val="0"/>
      <w:snapToGrid w:val="0"/>
      <w:spacing w:before="240" w:after="120" w:line="260" w:lineRule="atLeast"/>
      <w:ind w:left="426" w:hanging="426"/>
      <w:outlineLvl w:val="0"/>
    </w:pPr>
    <w:rPr>
      <w:rFonts w:ascii="Palatino Linotype" w:eastAsia="SimSun" w:hAnsi="Palatino Linotype" w:cs="Times New Roman"/>
      <w:b/>
      <w:color w:val="000000"/>
      <w:sz w:val="20"/>
      <w:lang w:val="en-US" w:eastAsia="zh-CN"/>
    </w:rPr>
  </w:style>
  <w:style w:type="paragraph" w:styleId="BodyText">
    <w:name w:val="Body Text"/>
    <w:basedOn w:val="Normal"/>
    <w:link w:val="BodyTextChar"/>
    <w:uiPriority w:val="1"/>
    <w:qFormat/>
    <w:rsid w:val="001C66BF"/>
    <w:pPr>
      <w:widowControl w:val="0"/>
      <w:autoSpaceDE w:val="0"/>
      <w:autoSpaceDN w:val="0"/>
      <w:spacing w:after="0" w:line="240" w:lineRule="auto"/>
    </w:pPr>
    <w:rPr>
      <w:rFonts w:ascii="Times New Roman" w:eastAsia="SimSun" w:hAnsi="Times New Roman" w:cs="Times New Roman"/>
      <w:sz w:val="24"/>
      <w:szCs w:val="24"/>
      <w:lang w:val="en-US" w:eastAsia="en-US"/>
    </w:rPr>
  </w:style>
  <w:style w:type="character" w:customStyle="1" w:styleId="BodyTextChar">
    <w:name w:val="Body Text Char"/>
    <w:basedOn w:val="DefaultParagraphFont"/>
    <w:link w:val="BodyText"/>
    <w:uiPriority w:val="1"/>
    <w:rsid w:val="001C66BF"/>
    <w:rPr>
      <w:rFonts w:ascii="Times New Roman" w:eastAsia="SimSun" w:hAnsi="Times New Roman" w:cs="Times New Roman"/>
      <w:sz w:val="24"/>
      <w:szCs w:val="24"/>
      <w:lang w:val="en-US" w:eastAsia="en-US"/>
    </w:rPr>
  </w:style>
  <w:style w:type="paragraph" w:customStyle="1" w:styleId="TableParagraph">
    <w:name w:val="Table Paragraph"/>
    <w:basedOn w:val="Normal"/>
    <w:uiPriority w:val="1"/>
    <w:qFormat/>
    <w:rsid w:val="001C66BF"/>
    <w:pPr>
      <w:widowControl w:val="0"/>
      <w:autoSpaceDE w:val="0"/>
      <w:autoSpaceDN w:val="0"/>
      <w:spacing w:after="0" w:line="240" w:lineRule="auto"/>
    </w:pPr>
    <w:rPr>
      <w:rFonts w:ascii="Times New Roman" w:eastAsia="SimSun" w:hAnsi="Times New Roman" w:cs="Times New Roman"/>
      <w:lang w:val="en-US" w:eastAsia="en-US"/>
    </w:rPr>
  </w:style>
  <w:style w:type="paragraph" w:customStyle="1" w:styleId="Alishlah16affiliation">
    <w:name w:val="Alishlah_1.6_affiliation"/>
    <w:basedOn w:val="Normal"/>
    <w:qFormat/>
    <w:rsid w:val="00961EA8"/>
    <w:pPr>
      <w:adjustRightInd w:val="0"/>
      <w:snapToGrid w:val="0"/>
      <w:spacing w:after="0" w:line="200" w:lineRule="atLeast"/>
      <w:ind w:left="311" w:hanging="198"/>
    </w:pPr>
    <w:rPr>
      <w:rFonts w:ascii="Palatino Linotype" w:eastAsia="SimSun" w:hAnsi="Palatino Linotype" w:cs="Times New Roman"/>
      <w:color w:val="000000"/>
      <w:sz w:val="18"/>
      <w:szCs w:val="18"/>
      <w:lang w:val="en-US" w:eastAsia="de-DE"/>
    </w:rPr>
  </w:style>
  <w:style w:type="character" w:styleId="Hyperlink">
    <w:name w:val="Hyperlink"/>
    <w:basedOn w:val="DefaultParagraphFont"/>
    <w:uiPriority w:val="99"/>
    <w:unhideWhenUsed/>
    <w:rsid w:val="00961E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alinussaandesonl@gmail.com" TargetMode="External"/><Relationship Id="rId4" Type="http://schemas.microsoft.com/office/2007/relationships/stylesWithEffects" Target="stylesWithEffects.xml"/><Relationship Id="rId9" Type="http://schemas.openxmlformats.org/officeDocument/2006/relationships/hyperlink" Target="mailto:palinussaandesonl@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8BA82-90D8-407E-AFFE-DE1808C7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23438</Words>
  <Characters>133599</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12</cp:revision>
  <dcterms:created xsi:type="dcterms:W3CDTF">2023-10-14T02:41:00Z</dcterms:created>
  <dcterms:modified xsi:type="dcterms:W3CDTF">2024-11-27T01:07:00Z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7983b9e7-6951-337e-a88d-b0ceefcab1e0</vt:lpwstr>
  </property>
  <property fmtid="{D5CDD505-2E9C-101B-9397-08002B2CF9AE}" pid="24" name="Mendeley Citation Style_1">
    <vt:lpwstr>http://www.zotero.org/styles/apa</vt:lpwstr>
  </property>
</Properties>
</file>